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11C77" w14:textId="77777777" w:rsidR="00652E27" w:rsidRDefault="00652E27" w:rsidP="00652E27">
      <w:pPr>
        <w:rPr>
          <w:rFonts w:ascii="Times New Roman" w:hAnsi="Times New Roman" w:cs="Times New Roman"/>
          <w:b/>
          <w:sz w:val="28"/>
          <w:szCs w:val="24"/>
        </w:rPr>
      </w:pPr>
      <w:r>
        <w:rPr>
          <w:rFonts w:ascii="Times New Roman" w:hAnsi="Times New Roman" w:cs="Times New Roman"/>
          <w:b/>
          <w:sz w:val="28"/>
          <w:szCs w:val="24"/>
        </w:rPr>
        <w:t>The Eurozone Sovereign Debt Crisis and its effect on the Eurozone</w:t>
      </w:r>
    </w:p>
    <w:p w14:paraId="4D6DBE85" w14:textId="77777777" w:rsidR="009750DE" w:rsidRPr="00652E27" w:rsidRDefault="000307E9" w:rsidP="00652E27">
      <w:pPr>
        <w:spacing w:line="480" w:lineRule="auto"/>
        <w:ind w:firstLine="720"/>
        <w:rPr>
          <w:rFonts w:ascii="Times New Roman" w:hAnsi="Times New Roman" w:cs="Times New Roman"/>
          <w:b/>
          <w:sz w:val="28"/>
          <w:szCs w:val="24"/>
        </w:rPr>
      </w:pPr>
      <w:r>
        <w:rPr>
          <w:rFonts w:ascii="Times New Roman" w:hAnsi="Times New Roman" w:cs="Times New Roman"/>
          <w:b/>
          <w:sz w:val="28"/>
          <w:szCs w:val="24"/>
        </w:rPr>
        <w:br w:type="page"/>
      </w:r>
      <w:r w:rsidR="000704C6">
        <w:rPr>
          <w:rFonts w:ascii="Times New Roman" w:hAnsi="Times New Roman" w:cs="Times New Roman"/>
          <w:sz w:val="24"/>
          <w:szCs w:val="24"/>
        </w:rPr>
        <w:lastRenderedPageBreak/>
        <w:t>Recently, various member states of the European Union that use the Euro have been exp</w:t>
      </w:r>
      <w:r w:rsidR="00F75471">
        <w:rPr>
          <w:rFonts w:ascii="Times New Roman" w:hAnsi="Times New Roman" w:cs="Times New Roman"/>
          <w:sz w:val="24"/>
          <w:szCs w:val="24"/>
        </w:rPr>
        <w:t>eriencing sovereign debt crises</w:t>
      </w:r>
      <w:r w:rsidR="00D76DB9">
        <w:rPr>
          <w:rFonts w:ascii="Times New Roman" w:hAnsi="Times New Roman" w:cs="Times New Roman"/>
          <w:sz w:val="24"/>
          <w:szCs w:val="24"/>
        </w:rPr>
        <w:t>, particularly member states in the periphery of the Eurozone, in this case, Greece, Italy, Ireland, Portugal, and Spain</w:t>
      </w:r>
      <w:r w:rsidR="00F75471">
        <w:rPr>
          <w:rFonts w:ascii="Times New Roman" w:hAnsi="Times New Roman" w:cs="Times New Roman"/>
          <w:sz w:val="24"/>
          <w:szCs w:val="24"/>
        </w:rPr>
        <w:t xml:space="preserve">. These debt crises are caused by consistently high budget deficits, consistently high overall public debts, and, in some cases, both. The Euro was created to harmonize the financial and monetary systems of the member states of the European Union. </w:t>
      </w:r>
      <w:r w:rsidR="00D76DB9">
        <w:rPr>
          <w:rFonts w:ascii="Times New Roman" w:hAnsi="Times New Roman" w:cs="Times New Roman"/>
          <w:sz w:val="24"/>
          <w:szCs w:val="24"/>
        </w:rPr>
        <w:t>Financial and monetary harmonization is accomplished</w:t>
      </w:r>
      <w:r w:rsidR="00F75471">
        <w:rPr>
          <w:rFonts w:ascii="Times New Roman" w:hAnsi="Times New Roman" w:cs="Times New Roman"/>
          <w:sz w:val="24"/>
          <w:szCs w:val="24"/>
        </w:rPr>
        <w:t xml:space="preserve"> by imposing a standardized monetary policy across Europe, with a standard interest rate regime and a standard inflation target. The states that adopted the Euro are part of the Eurozone and their national central banks are part of the </w:t>
      </w:r>
      <w:r w:rsidR="00D76DB9">
        <w:rPr>
          <w:rFonts w:ascii="Times New Roman" w:hAnsi="Times New Roman" w:cs="Times New Roman"/>
          <w:sz w:val="24"/>
          <w:szCs w:val="24"/>
        </w:rPr>
        <w:t>Euro system</w:t>
      </w:r>
      <w:r w:rsidR="00F75471">
        <w:rPr>
          <w:rFonts w:ascii="Times New Roman" w:hAnsi="Times New Roman" w:cs="Times New Roman"/>
          <w:sz w:val="24"/>
          <w:szCs w:val="24"/>
        </w:rPr>
        <w:t xml:space="preserve"> and take directions from the European Central Bank in Frankfurt.</w:t>
      </w:r>
      <w:r w:rsidR="00342340">
        <w:rPr>
          <w:rFonts w:ascii="Times New Roman" w:hAnsi="Times New Roman" w:cs="Times New Roman"/>
          <w:sz w:val="24"/>
          <w:szCs w:val="24"/>
        </w:rPr>
        <w:t xml:space="preserve"> However, economic troubles and economic mismanagement in ce</w:t>
      </w:r>
      <w:r w:rsidR="00CF59DF">
        <w:rPr>
          <w:rFonts w:ascii="Times New Roman" w:hAnsi="Times New Roman" w:cs="Times New Roman"/>
          <w:sz w:val="24"/>
          <w:szCs w:val="24"/>
        </w:rPr>
        <w:t>rtain countries, especially in peripheral and s</w:t>
      </w:r>
      <w:r w:rsidR="00342340">
        <w:rPr>
          <w:rFonts w:ascii="Times New Roman" w:hAnsi="Times New Roman" w:cs="Times New Roman"/>
          <w:sz w:val="24"/>
          <w:szCs w:val="24"/>
        </w:rPr>
        <w:t>outhern Europe, threatens to undo the above-mentioned monetary union.</w:t>
      </w:r>
    </w:p>
    <w:p w14:paraId="0632E47D" w14:textId="77777777" w:rsidR="00516793" w:rsidRDefault="00516793" w:rsidP="000704C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Member states of the Eurozone share a common currency with a common interest rate, enabling states to borrow regardless of the financial situation of the state concerned. For instance, Portugal, Italy, and Greece are able to issue bonds with </w:t>
      </w:r>
      <w:r w:rsidR="007E2F46">
        <w:rPr>
          <w:rFonts w:ascii="Times New Roman" w:hAnsi="Times New Roman" w:cs="Times New Roman"/>
          <w:sz w:val="24"/>
          <w:szCs w:val="24"/>
        </w:rPr>
        <w:t>interest rates that are typical in states like Germany and Austria.</w:t>
      </w:r>
      <w:r w:rsidR="00521D9E">
        <w:rPr>
          <w:rFonts w:ascii="Times New Roman" w:hAnsi="Times New Roman" w:cs="Times New Roman"/>
          <w:sz w:val="24"/>
          <w:szCs w:val="24"/>
        </w:rPr>
        <w:t xml:space="preserve"> Thanks to their inclusion in the Euro, Ireland and southern European countries were able to borrow large amounts of money to finance their respective economic booms.</w:t>
      </w:r>
    </w:p>
    <w:p w14:paraId="69743FA9" w14:textId="77777777" w:rsidR="00A164F0" w:rsidRPr="00A164F0" w:rsidRDefault="00A164F0" w:rsidP="00A164F0">
      <w:pPr>
        <w:spacing w:line="480" w:lineRule="auto"/>
        <w:contextualSpacing/>
        <w:jc w:val="center"/>
        <w:rPr>
          <w:rFonts w:ascii="Times New Roman" w:hAnsi="Times New Roman" w:cs="Times New Roman"/>
          <w:b/>
          <w:sz w:val="28"/>
          <w:szCs w:val="24"/>
        </w:rPr>
      </w:pPr>
      <w:r w:rsidRPr="00A164F0">
        <w:rPr>
          <w:rFonts w:ascii="Times New Roman" w:hAnsi="Times New Roman" w:cs="Times New Roman"/>
          <w:b/>
          <w:sz w:val="28"/>
          <w:szCs w:val="24"/>
        </w:rPr>
        <w:t>Joining the Eurozone</w:t>
      </w:r>
    </w:p>
    <w:p w14:paraId="2BBB35B3" w14:textId="77777777" w:rsidR="00A164F0" w:rsidRDefault="00A164F0" w:rsidP="00A164F0">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One important part of the European Union is the Euro currency, governed by the European Central Bank in Frankfurt. Countries that use the Euro are colloquially</w:t>
      </w:r>
      <w:r w:rsidR="00591C89">
        <w:rPr>
          <w:rFonts w:ascii="Times New Roman" w:hAnsi="Times New Roman" w:cs="Times New Roman"/>
          <w:sz w:val="24"/>
          <w:szCs w:val="24"/>
        </w:rPr>
        <w:t xml:space="preserve"> and collectively</w:t>
      </w:r>
      <w:r>
        <w:rPr>
          <w:rFonts w:ascii="Times New Roman" w:hAnsi="Times New Roman" w:cs="Times New Roman"/>
          <w:sz w:val="24"/>
          <w:szCs w:val="24"/>
        </w:rPr>
        <w:t xml:space="preserve"> known as the Eurozone. To harmonize (or at least to attempt to do so) the divergent economies in the area, there are certain requirements that members must abide by before being eligible to </w:t>
      </w:r>
      <w:r>
        <w:rPr>
          <w:rFonts w:ascii="Times New Roman" w:hAnsi="Times New Roman" w:cs="Times New Roman"/>
          <w:sz w:val="24"/>
          <w:szCs w:val="24"/>
        </w:rPr>
        <w:lastRenderedPageBreak/>
        <w:t>adopt the Euro as their national currency.</w:t>
      </w:r>
      <w:r w:rsidR="000C5615">
        <w:rPr>
          <w:rFonts w:ascii="Times New Roman" w:hAnsi="Times New Roman" w:cs="Times New Roman"/>
          <w:sz w:val="24"/>
          <w:szCs w:val="24"/>
        </w:rPr>
        <w:t xml:space="preserve"> These requirements are generally known as the Maastricht convergence criteria, implemented when the EU had 15 members. Keep in mind that all of the countries that are currently affected by the sovereign debt crisis were members of the European Union at the time the criteria were implemented</w:t>
      </w:r>
      <w:r w:rsidR="00C115BB">
        <w:rPr>
          <w:rFonts w:ascii="Times New Roman" w:hAnsi="Times New Roman" w:cs="Times New Roman"/>
          <w:sz w:val="24"/>
          <w:szCs w:val="24"/>
        </w:rPr>
        <w:t>.</w:t>
      </w:r>
    </w:p>
    <w:p w14:paraId="4807DECE" w14:textId="77777777" w:rsidR="00A164F0" w:rsidRPr="00A164F0" w:rsidRDefault="00A164F0" w:rsidP="00A164F0">
      <w:pPr>
        <w:spacing w:line="480" w:lineRule="auto"/>
        <w:ind w:firstLine="720"/>
        <w:contextualSpacing/>
        <w:rPr>
          <w:rFonts w:ascii="Times New Roman" w:hAnsi="Times New Roman" w:cs="Times New Roman"/>
          <w:b/>
          <w:sz w:val="24"/>
          <w:szCs w:val="24"/>
        </w:rPr>
      </w:pPr>
      <w:r>
        <w:rPr>
          <w:rFonts w:ascii="Times New Roman" w:hAnsi="Times New Roman" w:cs="Times New Roman"/>
          <w:sz w:val="24"/>
          <w:szCs w:val="24"/>
        </w:rPr>
        <w:t>However, with a common currency comes a common central bank, and thus, a common monetary policy with uniform interest rates. Members are also held to a common bu</w:t>
      </w:r>
      <w:r w:rsidR="00ED7BE6">
        <w:rPr>
          <w:rFonts w:ascii="Times New Roman" w:hAnsi="Times New Roman" w:cs="Times New Roman"/>
          <w:sz w:val="24"/>
          <w:szCs w:val="24"/>
        </w:rPr>
        <w:t>dget deficit limit of 3 percent as enumerated in the Maastricht convergence criteria.</w:t>
      </w:r>
      <w:r w:rsidR="00ED7BE6">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In other words, no Eurozone member can have a budget deficit of more than 3 percent over one fiscal year. In addition, no Eurozone member is allowed to have a public (i. e. government) debt burden in excess of 60 percent of that state’s Gross Domestic Product.</w:t>
      </w:r>
      <w:r w:rsidR="00150957">
        <w:rPr>
          <w:rFonts w:ascii="Times New Roman" w:hAnsi="Times New Roman" w:cs="Times New Roman"/>
          <w:sz w:val="24"/>
          <w:szCs w:val="24"/>
        </w:rPr>
        <w:t xml:space="preserve"> Other criteria for inclusion include low inflation, low sovereign debt interest rates, and a stable exchange rate between the national currency and the Euro.</w:t>
      </w:r>
      <w:r w:rsidR="001F20EE">
        <w:rPr>
          <w:rFonts w:ascii="Times New Roman" w:hAnsi="Times New Roman" w:cs="Times New Roman"/>
          <w:sz w:val="24"/>
          <w:szCs w:val="24"/>
        </w:rPr>
        <w:t xml:space="preserve"> In this case, a country’s inflation cannot be in excess of 1.5 percent of the average of the three EU members with the greatest price stability. Also, long-term interest </w:t>
      </w:r>
      <w:r w:rsidR="00AE624A">
        <w:rPr>
          <w:rFonts w:ascii="Times New Roman" w:hAnsi="Times New Roman" w:cs="Times New Roman"/>
          <w:sz w:val="24"/>
          <w:szCs w:val="24"/>
        </w:rPr>
        <w:t>rates cannot</w:t>
      </w:r>
      <w:r w:rsidR="001F20EE">
        <w:rPr>
          <w:rFonts w:ascii="Times New Roman" w:hAnsi="Times New Roman" w:cs="Times New Roman"/>
          <w:sz w:val="24"/>
          <w:szCs w:val="24"/>
        </w:rPr>
        <w:t xml:space="preserve"> exceed 2 percent of the average of the three EU members with the greatest price stability. Furthermore, the exchange rate of the national currency (at the time the EU member state applies for membership in the Eurozone) cannot deviate more than 15 percent from the </w:t>
      </w:r>
      <w:r w:rsidR="00007C23">
        <w:rPr>
          <w:rFonts w:ascii="Times New Roman" w:hAnsi="Times New Roman" w:cs="Times New Roman"/>
          <w:sz w:val="24"/>
          <w:szCs w:val="24"/>
        </w:rPr>
        <w:t>Euro in either direction.</w:t>
      </w:r>
      <w:r w:rsidR="00007C23">
        <w:rPr>
          <w:rStyle w:val="FootnoteReference"/>
          <w:rFonts w:ascii="Times New Roman" w:hAnsi="Times New Roman" w:cs="Times New Roman"/>
          <w:sz w:val="24"/>
          <w:szCs w:val="24"/>
        </w:rPr>
        <w:footnoteReference w:id="2"/>
      </w:r>
    </w:p>
    <w:p w14:paraId="70FB6950" w14:textId="77777777" w:rsidR="00521D9E" w:rsidRDefault="00521D9E" w:rsidP="002A542D">
      <w:pPr>
        <w:spacing w:line="480" w:lineRule="auto"/>
        <w:contextualSpacing/>
        <w:jc w:val="center"/>
        <w:rPr>
          <w:rFonts w:ascii="Times New Roman" w:hAnsi="Times New Roman" w:cs="Times New Roman"/>
          <w:b/>
          <w:sz w:val="28"/>
          <w:szCs w:val="24"/>
        </w:rPr>
      </w:pPr>
      <w:r>
        <w:rPr>
          <w:rFonts w:ascii="Times New Roman" w:hAnsi="Times New Roman" w:cs="Times New Roman"/>
          <w:b/>
          <w:sz w:val="28"/>
          <w:szCs w:val="24"/>
        </w:rPr>
        <w:t>The Party Starts</w:t>
      </w:r>
      <w:r w:rsidR="00EB35B7">
        <w:rPr>
          <w:rFonts w:ascii="Times New Roman" w:hAnsi="Times New Roman" w:cs="Times New Roman"/>
          <w:b/>
          <w:sz w:val="28"/>
          <w:szCs w:val="24"/>
        </w:rPr>
        <w:t xml:space="preserve"> (and </w:t>
      </w:r>
      <w:r w:rsidR="002A542D">
        <w:rPr>
          <w:rFonts w:ascii="Times New Roman" w:hAnsi="Times New Roman" w:cs="Times New Roman"/>
          <w:b/>
          <w:sz w:val="28"/>
          <w:szCs w:val="24"/>
        </w:rPr>
        <w:t>goes on</w:t>
      </w:r>
      <w:r w:rsidR="00EB35B7">
        <w:rPr>
          <w:rFonts w:ascii="Times New Roman" w:hAnsi="Times New Roman" w:cs="Times New Roman"/>
          <w:b/>
          <w:sz w:val="28"/>
          <w:szCs w:val="24"/>
        </w:rPr>
        <w:t>)</w:t>
      </w:r>
      <w:r>
        <w:rPr>
          <w:rFonts w:ascii="Times New Roman" w:hAnsi="Times New Roman" w:cs="Times New Roman"/>
          <w:b/>
          <w:sz w:val="28"/>
          <w:szCs w:val="24"/>
        </w:rPr>
        <w:t xml:space="preserve"> at Club Med</w:t>
      </w:r>
    </w:p>
    <w:p w14:paraId="78041227" w14:textId="77777777" w:rsidR="00521D9E" w:rsidRDefault="00521D9E" w:rsidP="00652E2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Historically, the “Club Med” countries were poorer and lesser develo</w:t>
      </w:r>
      <w:r w:rsidR="00CF59DF">
        <w:rPr>
          <w:rFonts w:ascii="Times New Roman" w:hAnsi="Times New Roman" w:cs="Times New Roman"/>
          <w:sz w:val="24"/>
          <w:szCs w:val="24"/>
        </w:rPr>
        <w:t>ped than their counterparts in n</w:t>
      </w:r>
      <w:r>
        <w:rPr>
          <w:rFonts w:ascii="Times New Roman" w:hAnsi="Times New Roman" w:cs="Times New Roman"/>
          <w:sz w:val="24"/>
          <w:szCs w:val="24"/>
        </w:rPr>
        <w:t>orthern Europe.</w:t>
      </w:r>
      <w:r w:rsidR="00510350">
        <w:rPr>
          <w:rFonts w:ascii="Times New Roman" w:hAnsi="Times New Roman" w:cs="Times New Roman"/>
          <w:sz w:val="24"/>
          <w:szCs w:val="24"/>
        </w:rPr>
        <w:t xml:space="preserve"> “Club Med” </w:t>
      </w:r>
      <w:r w:rsidR="009E146D">
        <w:rPr>
          <w:rFonts w:ascii="Times New Roman" w:hAnsi="Times New Roman" w:cs="Times New Roman"/>
          <w:sz w:val="24"/>
          <w:szCs w:val="24"/>
        </w:rPr>
        <w:t>is</w:t>
      </w:r>
      <w:r w:rsidR="00510350">
        <w:rPr>
          <w:rFonts w:ascii="Times New Roman" w:hAnsi="Times New Roman" w:cs="Times New Roman"/>
          <w:sz w:val="24"/>
          <w:szCs w:val="24"/>
        </w:rPr>
        <w:t xml:space="preserve"> a designation by economists of the European Union members al</w:t>
      </w:r>
      <w:r w:rsidR="00A01B02">
        <w:rPr>
          <w:rFonts w:ascii="Times New Roman" w:hAnsi="Times New Roman" w:cs="Times New Roman"/>
          <w:sz w:val="24"/>
          <w:szCs w:val="24"/>
        </w:rPr>
        <w:t>ong the Mediterranean Sea. Thes</w:t>
      </w:r>
      <w:r w:rsidR="00510350">
        <w:rPr>
          <w:rFonts w:ascii="Times New Roman" w:hAnsi="Times New Roman" w:cs="Times New Roman"/>
          <w:sz w:val="24"/>
          <w:szCs w:val="24"/>
        </w:rPr>
        <w:t xml:space="preserve">e countries are Greece, Italy, Portugal, and </w:t>
      </w:r>
      <w:r w:rsidR="00510350">
        <w:rPr>
          <w:rFonts w:ascii="Times New Roman" w:hAnsi="Times New Roman" w:cs="Times New Roman"/>
          <w:sz w:val="24"/>
          <w:szCs w:val="24"/>
        </w:rPr>
        <w:lastRenderedPageBreak/>
        <w:t>Spain, and if combined into an acronym, they would be known as the “GIPS” countries.</w:t>
      </w:r>
      <w:r w:rsidR="003951D1">
        <w:rPr>
          <w:rStyle w:val="FootnoteReference"/>
          <w:rFonts w:ascii="Times New Roman" w:hAnsi="Times New Roman" w:cs="Times New Roman"/>
          <w:sz w:val="24"/>
          <w:szCs w:val="24"/>
        </w:rPr>
        <w:footnoteReference w:id="3"/>
      </w:r>
      <w:r w:rsidR="0038765C">
        <w:rPr>
          <w:rFonts w:ascii="Times New Roman" w:hAnsi="Times New Roman" w:cs="Times New Roman"/>
          <w:sz w:val="24"/>
          <w:szCs w:val="24"/>
        </w:rPr>
        <w:t xml:space="preserve"> These countries “developed very differently from the industrial powerhouses of northern Europe” such as the United Kingdom, Germany, and France.</w:t>
      </w:r>
      <w:r w:rsidR="0038765C">
        <w:rPr>
          <w:rStyle w:val="FootnoteReference"/>
          <w:rFonts w:ascii="Times New Roman" w:hAnsi="Times New Roman" w:cs="Times New Roman"/>
          <w:sz w:val="24"/>
          <w:szCs w:val="24"/>
        </w:rPr>
        <w:footnoteReference w:id="4"/>
      </w:r>
      <w:r w:rsidR="00606234">
        <w:rPr>
          <w:rFonts w:ascii="Times New Roman" w:hAnsi="Times New Roman" w:cs="Times New Roman"/>
          <w:sz w:val="24"/>
          <w:szCs w:val="24"/>
        </w:rPr>
        <w:t xml:space="preserve"> Thanks</w:t>
      </w:r>
      <w:r w:rsidR="00CF59DF">
        <w:rPr>
          <w:rFonts w:ascii="Times New Roman" w:hAnsi="Times New Roman" w:cs="Times New Roman"/>
          <w:sz w:val="24"/>
          <w:szCs w:val="24"/>
        </w:rPr>
        <w:t xml:space="preserve"> to their inclusion in the Euro</w:t>
      </w:r>
      <w:r w:rsidR="00606234">
        <w:rPr>
          <w:rFonts w:ascii="Times New Roman" w:hAnsi="Times New Roman" w:cs="Times New Roman"/>
          <w:sz w:val="24"/>
          <w:szCs w:val="24"/>
        </w:rPr>
        <w:t>zone, they were able to grow their economies and catch up to northern European levels of prosperity, or so it seems.</w:t>
      </w:r>
    </w:p>
    <w:p w14:paraId="4F39582E" w14:textId="301EB9FA" w:rsidR="007732DE" w:rsidRDefault="00D5278A" w:rsidP="0064124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It turned out that the Spanish economic boom was powered by</w:t>
      </w:r>
      <w:r w:rsidR="00A01B02">
        <w:rPr>
          <w:rFonts w:ascii="Times New Roman" w:hAnsi="Times New Roman" w:cs="Times New Roman"/>
          <w:sz w:val="24"/>
          <w:szCs w:val="24"/>
        </w:rPr>
        <w:t xml:space="preserve"> a debt-</w:t>
      </w:r>
      <w:r w:rsidR="00816AC2">
        <w:rPr>
          <w:rFonts w:ascii="Times New Roman" w:hAnsi="Times New Roman" w:cs="Times New Roman"/>
          <w:sz w:val="24"/>
          <w:szCs w:val="24"/>
        </w:rPr>
        <w:t>fueled</w:t>
      </w:r>
      <w:r w:rsidR="00A01B02">
        <w:rPr>
          <w:rFonts w:ascii="Times New Roman" w:hAnsi="Times New Roman" w:cs="Times New Roman"/>
          <w:sz w:val="24"/>
          <w:szCs w:val="24"/>
        </w:rPr>
        <w:t xml:space="preserve"> property bubble and was effectively a mirage. Typically in a booming national economy, there is substantial physical evidence with goods from that country appearing on store shelves and in showrooms throughout the world, for example, in West Germany during the </w:t>
      </w:r>
      <w:r w:rsidR="00A01B02">
        <w:rPr>
          <w:rFonts w:ascii="Times New Roman" w:hAnsi="Times New Roman" w:cs="Times New Roman"/>
          <w:i/>
          <w:sz w:val="24"/>
          <w:szCs w:val="24"/>
        </w:rPr>
        <w:t>Wirtschafts</w:t>
      </w:r>
      <w:r w:rsidR="003D11D8">
        <w:rPr>
          <w:rFonts w:ascii="Times New Roman" w:hAnsi="Times New Roman" w:cs="Times New Roman"/>
          <w:i/>
          <w:sz w:val="24"/>
          <w:szCs w:val="24"/>
        </w:rPr>
        <w:t>wunder</w:t>
      </w:r>
      <w:r w:rsidR="00A01B02">
        <w:rPr>
          <w:rStyle w:val="FootnoteReference"/>
          <w:rFonts w:ascii="Times New Roman" w:hAnsi="Times New Roman" w:cs="Times New Roman"/>
          <w:i/>
          <w:sz w:val="24"/>
          <w:szCs w:val="24"/>
        </w:rPr>
        <w:footnoteReference w:id="5"/>
      </w:r>
      <w:r w:rsidR="003D11D8">
        <w:rPr>
          <w:rFonts w:ascii="Times New Roman" w:hAnsi="Times New Roman" w:cs="Times New Roman"/>
          <w:sz w:val="24"/>
          <w:szCs w:val="24"/>
        </w:rPr>
        <w:t xml:space="preserve"> and in South Korea during its economic boom. However, that was not the case in Spain, which did not launch any new products, although some </w:t>
      </w:r>
      <w:bookmarkStart w:id="0" w:name="_GoBack"/>
      <w:bookmarkEnd w:id="0"/>
      <w:r w:rsidR="00641248">
        <w:rPr>
          <w:rFonts w:ascii="Times New Roman" w:hAnsi="Times New Roman" w:cs="Times New Roman"/>
          <w:sz w:val="24"/>
          <w:szCs w:val="24"/>
        </w:rPr>
        <w:t>non-industrial brands</w:t>
      </w:r>
      <w:r w:rsidR="003D11D8">
        <w:rPr>
          <w:rFonts w:ascii="Times New Roman" w:hAnsi="Times New Roman" w:cs="Times New Roman"/>
          <w:sz w:val="24"/>
          <w:szCs w:val="24"/>
        </w:rPr>
        <w:t xml:space="preserve"> became known throughout the world.</w:t>
      </w:r>
      <w:r w:rsidR="003D11D8">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p>
    <w:p w14:paraId="65F8B9D8" w14:textId="77777777" w:rsidR="00675655" w:rsidRDefault="00D5278A" w:rsidP="007732DE">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As it turned out, property prices increased 80 percent between 1990 and 2009, leading to the introduction of 50-year mortgages, with such loans being issued under relatively relaxed lending criteria.</w:t>
      </w:r>
      <w:r w:rsidR="007732DE">
        <w:rPr>
          <w:rFonts w:ascii="Times New Roman" w:hAnsi="Times New Roman" w:cs="Times New Roman"/>
          <w:sz w:val="24"/>
          <w:szCs w:val="24"/>
        </w:rPr>
        <w:t xml:space="preserve"> Since the Euro was launched, total debt levels in Spain effectively doubled from 193 percent of GDP in 2000 to 366 percent of GDP in 2008. Average household debt levels </w:t>
      </w:r>
    </w:p>
    <w:p w14:paraId="11FE8B35" w14:textId="77777777" w:rsidR="00D5278A" w:rsidRDefault="007732DE" w:rsidP="00652E27">
      <w:pPr>
        <w:spacing w:line="480" w:lineRule="auto"/>
        <w:contextualSpacing/>
        <w:rPr>
          <w:rFonts w:ascii="Times New Roman" w:hAnsi="Times New Roman" w:cs="Times New Roman"/>
          <w:sz w:val="24"/>
          <w:szCs w:val="24"/>
        </w:rPr>
      </w:pPr>
      <w:r>
        <w:rPr>
          <w:rFonts w:ascii="Times New Roman" w:hAnsi="Times New Roman" w:cs="Times New Roman"/>
          <w:sz w:val="24"/>
          <w:szCs w:val="24"/>
        </w:rPr>
        <w:t>increased at a similar rate, from 69 percent of disposable income in 2000 to 130 percent of disposable income in 2008, an increase of 88 percent. This is compared to a 33 percent increase in the United States, a 52 percent increase in Great Britain, and a decrease in Germany during the same time period.</w:t>
      </w:r>
      <w:r w:rsidR="00EB35B7">
        <w:rPr>
          <w:rFonts w:ascii="Times New Roman" w:hAnsi="Times New Roman" w:cs="Times New Roman"/>
          <w:sz w:val="24"/>
          <w:szCs w:val="24"/>
        </w:rPr>
        <w:t xml:space="preserve"> Effectively, the modern Spanish economic miracle was based on debt, not </w:t>
      </w:r>
      <w:r w:rsidR="00EB35B7">
        <w:rPr>
          <w:rFonts w:ascii="Times New Roman" w:hAnsi="Times New Roman" w:cs="Times New Roman"/>
          <w:sz w:val="24"/>
          <w:szCs w:val="24"/>
        </w:rPr>
        <w:lastRenderedPageBreak/>
        <w:t>production.</w:t>
      </w:r>
      <w:r w:rsidR="009531BA">
        <w:rPr>
          <w:rFonts w:ascii="Times New Roman" w:hAnsi="Times New Roman" w:cs="Times New Roman"/>
          <w:sz w:val="24"/>
          <w:szCs w:val="24"/>
        </w:rPr>
        <w:t xml:space="preserve"> A similar phenomenon took place in Greece, Ireland</w:t>
      </w:r>
      <w:r w:rsidR="00B03EE9">
        <w:rPr>
          <w:rFonts w:ascii="Times New Roman" w:hAnsi="Times New Roman" w:cs="Times New Roman"/>
          <w:sz w:val="24"/>
          <w:szCs w:val="24"/>
        </w:rPr>
        <w:t xml:space="preserve"> (debt relative to GDP was 700 percent in 2008)</w:t>
      </w:r>
      <w:r w:rsidR="009531BA">
        <w:rPr>
          <w:rFonts w:ascii="Times New Roman" w:hAnsi="Times New Roman" w:cs="Times New Roman"/>
          <w:sz w:val="24"/>
          <w:szCs w:val="24"/>
        </w:rPr>
        <w:t>,</w:t>
      </w:r>
      <w:r w:rsidR="00B03EE9">
        <w:rPr>
          <w:rStyle w:val="FootnoteReference"/>
          <w:rFonts w:ascii="Times New Roman" w:hAnsi="Times New Roman" w:cs="Times New Roman"/>
          <w:sz w:val="24"/>
          <w:szCs w:val="24"/>
        </w:rPr>
        <w:footnoteReference w:id="7"/>
      </w:r>
      <w:r w:rsidR="009531BA">
        <w:rPr>
          <w:rFonts w:ascii="Times New Roman" w:hAnsi="Times New Roman" w:cs="Times New Roman"/>
          <w:sz w:val="24"/>
          <w:szCs w:val="24"/>
        </w:rPr>
        <w:t xml:space="preserve"> Portugal, and to a lesser extent Italy.</w:t>
      </w:r>
    </w:p>
    <w:p w14:paraId="6D2F2DC5" w14:textId="77777777" w:rsidR="006709AD" w:rsidRDefault="006709AD" w:rsidP="00521D9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It also turns out that, despite being in the </w:t>
      </w:r>
      <w:r w:rsidR="00CF59DF">
        <w:rPr>
          <w:rFonts w:ascii="Times New Roman" w:hAnsi="Times New Roman" w:cs="Times New Roman"/>
          <w:sz w:val="24"/>
          <w:szCs w:val="24"/>
        </w:rPr>
        <w:t>Eurozone, the economies of the s</w:t>
      </w:r>
      <w:r>
        <w:rPr>
          <w:rFonts w:ascii="Times New Roman" w:hAnsi="Times New Roman" w:cs="Times New Roman"/>
          <w:sz w:val="24"/>
          <w:szCs w:val="24"/>
        </w:rPr>
        <w:t xml:space="preserve">outhern European member-states are not as </w:t>
      </w:r>
      <w:r w:rsidR="00CF59DF">
        <w:rPr>
          <w:rFonts w:ascii="Times New Roman" w:hAnsi="Times New Roman" w:cs="Times New Roman"/>
          <w:sz w:val="24"/>
          <w:szCs w:val="24"/>
        </w:rPr>
        <w:t>competitive as their n</w:t>
      </w:r>
      <w:r>
        <w:rPr>
          <w:rFonts w:ascii="Times New Roman" w:hAnsi="Times New Roman" w:cs="Times New Roman"/>
          <w:sz w:val="24"/>
          <w:szCs w:val="24"/>
        </w:rPr>
        <w:t>orthern European counterparts.</w:t>
      </w:r>
      <w:r w:rsidR="00E45D5C">
        <w:rPr>
          <w:rFonts w:ascii="Times New Roman" w:hAnsi="Times New Roman" w:cs="Times New Roman"/>
          <w:sz w:val="24"/>
          <w:szCs w:val="24"/>
        </w:rPr>
        <w:t xml:space="preserve"> As pointed out by the Organization for Economic Co-operation and Development,</w:t>
      </w:r>
      <w:r w:rsidR="00E45D5C">
        <w:rPr>
          <w:rStyle w:val="FootnoteReference"/>
          <w:rFonts w:ascii="Times New Roman" w:hAnsi="Times New Roman" w:cs="Times New Roman"/>
          <w:sz w:val="24"/>
          <w:szCs w:val="24"/>
        </w:rPr>
        <w:footnoteReference w:id="8"/>
      </w:r>
      <w:r w:rsidR="00A01B02">
        <w:rPr>
          <w:rFonts w:ascii="Times New Roman" w:hAnsi="Times New Roman" w:cs="Times New Roman"/>
          <w:sz w:val="24"/>
          <w:szCs w:val="24"/>
        </w:rPr>
        <w:t xml:space="preserve"> </w:t>
      </w:r>
      <w:r w:rsidR="00E45D5C">
        <w:rPr>
          <w:rFonts w:ascii="Times New Roman" w:hAnsi="Times New Roman" w:cs="Times New Roman"/>
          <w:sz w:val="24"/>
          <w:szCs w:val="24"/>
        </w:rPr>
        <w:t>the Spanish economy was effectively stuck in the past. Its labor laws were outdated and restrictive, there were significant planning restrictions, and the presence of cartels precluded industries from being competitive.</w:t>
      </w:r>
      <w:r w:rsidR="00E45D5C">
        <w:rPr>
          <w:rStyle w:val="FootnoteReference"/>
          <w:rFonts w:ascii="Times New Roman" w:hAnsi="Times New Roman" w:cs="Times New Roman"/>
          <w:sz w:val="24"/>
          <w:szCs w:val="24"/>
        </w:rPr>
        <w:footnoteReference w:id="9"/>
      </w:r>
      <w:r w:rsidR="00E45D5C">
        <w:rPr>
          <w:rFonts w:ascii="Times New Roman" w:hAnsi="Times New Roman" w:cs="Times New Roman"/>
          <w:sz w:val="24"/>
          <w:szCs w:val="24"/>
        </w:rPr>
        <w:t xml:space="preserve"> </w:t>
      </w:r>
      <w:r w:rsidR="00A01B02">
        <w:rPr>
          <w:rFonts w:ascii="Times New Roman" w:hAnsi="Times New Roman" w:cs="Times New Roman"/>
          <w:sz w:val="24"/>
          <w:szCs w:val="24"/>
        </w:rPr>
        <w:t>Membership in a common currency system, in which states with less competitive economies use the same currency as more competitive economies,</w:t>
      </w:r>
      <w:r w:rsidR="00021E8D">
        <w:rPr>
          <w:rFonts w:ascii="Times New Roman" w:hAnsi="Times New Roman" w:cs="Times New Roman"/>
          <w:sz w:val="24"/>
          <w:szCs w:val="24"/>
        </w:rPr>
        <w:t xml:space="preserve"> leads to one-size-fits-all approach, in which all member states are treated the same without regard to actual economic conditions or economic fundamentals prevalent in that particular member state.</w:t>
      </w:r>
    </w:p>
    <w:p w14:paraId="45FBBD47" w14:textId="77777777" w:rsidR="006709AD" w:rsidRDefault="006709AD" w:rsidP="006709AD">
      <w:pPr>
        <w:spacing w:line="480" w:lineRule="auto"/>
        <w:contextualSpacing/>
        <w:jc w:val="center"/>
        <w:rPr>
          <w:rFonts w:ascii="Times New Roman" w:hAnsi="Times New Roman" w:cs="Times New Roman"/>
          <w:b/>
          <w:sz w:val="32"/>
          <w:szCs w:val="24"/>
        </w:rPr>
      </w:pPr>
      <w:r>
        <w:rPr>
          <w:rFonts w:ascii="Times New Roman" w:hAnsi="Times New Roman" w:cs="Times New Roman"/>
          <w:b/>
          <w:sz w:val="32"/>
          <w:szCs w:val="24"/>
        </w:rPr>
        <w:t>The Crisis Begins in Earnest</w:t>
      </w:r>
    </w:p>
    <w:p w14:paraId="6599170C" w14:textId="77777777" w:rsidR="00675655" w:rsidRDefault="003B589E" w:rsidP="00B03EE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sovereign debt crisis in the Eurozone started when various peripheral Eurozone nations incur unusually high budget deficits relative to their Gross Domestic Pr</w:t>
      </w:r>
      <w:r w:rsidR="00B03EE9">
        <w:rPr>
          <w:rFonts w:ascii="Times New Roman" w:hAnsi="Times New Roman" w:cs="Times New Roman"/>
          <w:sz w:val="24"/>
          <w:szCs w:val="24"/>
        </w:rPr>
        <w:t xml:space="preserve">oduct. First to fall </w:t>
      </w:r>
    </w:p>
    <w:p w14:paraId="3D16016C" w14:textId="77777777" w:rsidR="00675655" w:rsidRDefault="00B03EE9" w:rsidP="00B03EE9">
      <w:pPr>
        <w:spacing w:line="480" w:lineRule="auto"/>
        <w:contextualSpacing/>
        <w:rPr>
          <w:rFonts w:ascii="Times New Roman" w:hAnsi="Times New Roman" w:cs="Times New Roman"/>
          <w:sz w:val="24"/>
          <w:szCs w:val="24"/>
        </w:rPr>
      </w:pPr>
      <w:r>
        <w:rPr>
          <w:rFonts w:ascii="Times New Roman" w:hAnsi="Times New Roman" w:cs="Times New Roman"/>
          <w:sz w:val="24"/>
          <w:szCs w:val="24"/>
        </w:rPr>
        <w:t>was Greece, as “it was in Athens that the debts started falling due,”</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after Standard and Poors placed Greece’s A- long term credit rating on a negative watch list.</w:t>
      </w:r>
      <w:r w:rsidR="001A4358">
        <w:rPr>
          <w:rFonts w:ascii="Times New Roman" w:hAnsi="Times New Roman" w:cs="Times New Roman"/>
          <w:sz w:val="24"/>
          <w:szCs w:val="24"/>
        </w:rPr>
        <w:t xml:space="preserve"> High budget deficits and </w:t>
      </w:r>
      <w:r>
        <w:rPr>
          <w:rFonts w:ascii="Times New Roman" w:hAnsi="Times New Roman" w:cs="Times New Roman"/>
          <w:sz w:val="24"/>
          <w:szCs w:val="24"/>
        </w:rPr>
        <w:t>the</w:t>
      </w:r>
      <w:r w:rsidR="001A4358">
        <w:rPr>
          <w:rFonts w:ascii="Times New Roman" w:hAnsi="Times New Roman" w:cs="Times New Roman"/>
          <w:sz w:val="24"/>
          <w:szCs w:val="24"/>
        </w:rPr>
        <w:t xml:space="preserve"> </w:t>
      </w:r>
    </w:p>
    <w:p w14:paraId="104172D0" w14:textId="77777777" w:rsidR="003B589E" w:rsidRDefault="001A4358" w:rsidP="00B03EE9">
      <w:pPr>
        <w:spacing w:line="480" w:lineRule="auto"/>
        <w:contextualSpacing/>
        <w:rPr>
          <w:rFonts w:ascii="Times New Roman" w:hAnsi="Times New Roman" w:cs="Times New Roman"/>
          <w:sz w:val="24"/>
          <w:szCs w:val="24"/>
        </w:rPr>
      </w:pPr>
      <w:r>
        <w:rPr>
          <w:rFonts w:ascii="Times New Roman" w:hAnsi="Times New Roman" w:cs="Times New Roman"/>
          <w:sz w:val="24"/>
          <w:szCs w:val="24"/>
        </w:rPr>
        <w:t>high</w:t>
      </w:r>
      <w:r w:rsidR="00B03EE9">
        <w:rPr>
          <w:rFonts w:ascii="Times New Roman" w:hAnsi="Times New Roman" w:cs="Times New Roman"/>
          <w:sz w:val="24"/>
          <w:szCs w:val="24"/>
        </w:rPr>
        <w:t>est</w:t>
      </w:r>
      <w:r>
        <w:rPr>
          <w:rFonts w:ascii="Times New Roman" w:hAnsi="Times New Roman" w:cs="Times New Roman"/>
          <w:sz w:val="24"/>
          <w:szCs w:val="24"/>
        </w:rPr>
        <w:t xml:space="preserve"> overall debt load</w:t>
      </w:r>
      <w:r w:rsidR="00B03EE9">
        <w:rPr>
          <w:rFonts w:ascii="Times New Roman" w:hAnsi="Times New Roman" w:cs="Times New Roman"/>
          <w:sz w:val="24"/>
          <w:szCs w:val="24"/>
        </w:rPr>
        <w:t xml:space="preserve"> in the Eurozone at the time at 125 percent of GDP</w:t>
      </w:r>
      <w:r w:rsidR="00B03EE9">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called into question the ability of Greece to pay its debts, triggering much higher interest rates demanded by purchasers of bonds issued by the Greek government.</w:t>
      </w:r>
      <w:r w:rsidR="00B04474">
        <w:rPr>
          <w:rFonts w:ascii="Times New Roman" w:hAnsi="Times New Roman" w:cs="Times New Roman"/>
          <w:sz w:val="24"/>
          <w:szCs w:val="24"/>
        </w:rPr>
        <w:t xml:space="preserve"> The following table illustrates the spreads of various Eurozone government bonds over bonds issued by the German government. The </w:t>
      </w:r>
      <w:r w:rsidR="00B04474">
        <w:rPr>
          <w:rFonts w:ascii="Times New Roman" w:hAnsi="Times New Roman" w:cs="Times New Roman"/>
          <w:sz w:val="24"/>
          <w:szCs w:val="24"/>
        </w:rPr>
        <w:lastRenderedPageBreak/>
        <w:t>spread is the interest differential between the target country (for instance, Greece) and the reference country (in this case, Germany).</w:t>
      </w:r>
      <w:r w:rsidR="00BE33AA">
        <w:rPr>
          <w:rFonts w:ascii="Times New Roman" w:hAnsi="Times New Roman" w:cs="Times New Roman"/>
          <w:sz w:val="24"/>
          <w:szCs w:val="24"/>
        </w:rPr>
        <w:t xml:space="preserve"> As illustrated in the following table, as of December 2010, 10-year Greek government bonds carry a spread of around 9 percent over Bunds, or 10-year German government bonds. Thus, when Greece issues a bond, investors demand 9 percentage points above what they demand for investing in Bunds. For Irish bonds, the interest rate spread is 6 percentage points, Portuguese bonds carry a 4 percentage point interest premium over German Bund Bonds. Although the bonds issued by the above countries are denominated in Euros, the higher interest demanded is a measure of the higher risk of default, and thus a lower creditworthiness rating, by Greece, Ireland, and Portugal than Germany.</w:t>
      </w:r>
    </w:p>
    <w:p w14:paraId="39DE6297" w14:textId="77777777" w:rsidR="00675655" w:rsidRDefault="009653A0" w:rsidP="003B589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Figure 2 shows the budget deficits and relative public debt burdens to Gross Domestic Product of OECD member states in 2010. These figures are used to gauge the creditworthiness of national governments. A country with a high budget deficit and a high public debt burden is generally regarded as</w:t>
      </w:r>
      <w:r w:rsidR="00E7485B">
        <w:rPr>
          <w:rFonts w:ascii="Times New Roman" w:hAnsi="Times New Roman" w:cs="Times New Roman"/>
          <w:sz w:val="24"/>
          <w:szCs w:val="24"/>
        </w:rPr>
        <w:t xml:space="preserve"> on shaky financial ground, and therefore,</w:t>
      </w:r>
      <w:r>
        <w:rPr>
          <w:rFonts w:ascii="Times New Roman" w:hAnsi="Times New Roman" w:cs="Times New Roman"/>
          <w:sz w:val="24"/>
          <w:szCs w:val="24"/>
        </w:rPr>
        <w:t xml:space="preserve"> less credit-worthy than a country </w:t>
      </w:r>
      <w:r w:rsidR="00E7485B">
        <w:rPr>
          <w:rFonts w:ascii="Times New Roman" w:hAnsi="Times New Roman" w:cs="Times New Roman"/>
          <w:sz w:val="24"/>
          <w:szCs w:val="24"/>
        </w:rPr>
        <w:t xml:space="preserve">with a low budget deficit and public </w:t>
      </w:r>
      <w:r>
        <w:rPr>
          <w:rFonts w:ascii="Times New Roman" w:hAnsi="Times New Roman" w:cs="Times New Roman"/>
          <w:sz w:val="24"/>
          <w:szCs w:val="24"/>
        </w:rPr>
        <w:t>debt.</w:t>
      </w:r>
      <w:r w:rsidR="0033758A">
        <w:rPr>
          <w:rFonts w:ascii="Times New Roman" w:hAnsi="Times New Roman" w:cs="Times New Roman"/>
          <w:sz w:val="24"/>
          <w:szCs w:val="24"/>
        </w:rPr>
        <w:t xml:space="preserve"> The creditworthiness of these countries is reflected in their long term sovereign debt ratings (credit ratings) issued by Moody’s,</w:t>
      </w:r>
      <w:r w:rsidR="00EE2955">
        <w:rPr>
          <w:rFonts w:ascii="Times New Roman" w:hAnsi="Times New Roman" w:cs="Times New Roman"/>
          <w:sz w:val="24"/>
          <w:szCs w:val="24"/>
        </w:rPr>
        <w:t xml:space="preserve"> S&amp;P, and Fitch rating </w:t>
      </w:r>
    </w:p>
    <w:p w14:paraId="23790A35" w14:textId="77777777" w:rsidR="009653A0" w:rsidRDefault="00EE2955" w:rsidP="003B589E">
      <w:pPr>
        <w:spacing w:line="480" w:lineRule="auto"/>
        <w:contextualSpacing/>
        <w:rPr>
          <w:rFonts w:ascii="Times New Roman" w:hAnsi="Times New Roman" w:cs="Times New Roman"/>
          <w:sz w:val="24"/>
          <w:szCs w:val="24"/>
        </w:rPr>
      </w:pPr>
      <w:r>
        <w:rPr>
          <w:rFonts w:ascii="Times New Roman" w:hAnsi="Times New Roman" w:cs="Times New Roman"/>
          <w:sz w:val="24"/>
          <w:szCs w:val="24"/>
        </w:rPr>
        <w:t>agencies as shown in the table noted as Figure 4.</w:t>
      </w:r>
      <w:r w:rsidR="007D7245">
        <w:rPr>
          <w:rFonts w:ascii="Times New Roman" w:hAnsi="Times New Roman" w:cs="Times New Roman"/>
          <w:sz w:val="24"/>
          <w:szCs w:val="24"/>
        </w:rPr>
        <w:t xml:space="preserve"> When reading the debt ratings chart, it is important to note that “AAA” ratings represent a prime risk, “AA” ratings are very good (high grade), an “A” rating represents a good risk, and a “BAA” (Moody’s) or BBB (S&amp;P and Fitch) rating represents a fair, but acceptable investment risk. Lower ratings are indicative of junk bond status and are thus not suitable for investment.</w:t>
      </w:r>
      <w:r w:rsidR="009653A0">
        <w:rPr>
          <w:rFonts w:ascii="Times New Roman" w:hAnsi="Times New Roman" w:cs="Times New Roman"/>
          <w:sz w:val="24"/>
          <w:szCs w:val="24"/>
        </w:rPr>
        <w:t xml:space="preserve"> As a result, the more financially troubled country has to pay more for the </w:t>
      </w:r>
      <w:r w:rsidR="00E7485B">
        <w:rPr>
          <w:rFonts w:ascii="Times New Roman" w:hAnsi="Times New Roman" w:cs="Times New Roman"/>
          <w:sz w:val="24"/>
          <w:szCs w:val="24"/>
        </w:rPr>
        <w:t>ability to issue bonds (that is, to borrow money) on international markets.</w:t>
      </w:r>
    </w:p>
    <w:p w14:paraId="75895470" w14:textId="77777777" w:rsidR="00B04474" w:rsidRPr="003B589E" w:rsidRDefault="00B04474" w:rsidP="003B589E">
      <w:pPr>
        <w:spacing w:line="480" w:lineRule="auto"/>
        <w:contextualSpacing/>
        <w:rPr>
          <w:rFonts w:ascii="Times New Roman" w:hAnsi="Times New Roman" w:cs="Times New Roman"/>
          <w:sz w:val="24"/>
          <w:szCs w:val="24"/>
        </w:rPr>
      </w:pPr>
      <w:r>
        <w:rPr>
          <w:rFonts w:ascii="Times New Roman" w:hAnsi="Times New Roman" w:cs="Times New Roman"/>
          <w:sz w:val="24"/>
          <w:szCs w:val="24"/>
        </w:rPr>
        <w:t>(Figure 1)</w:t>
      </w:r>
    </w:p>
    <w:p w14:paraId="30794DF1" w14:textId="77777777" w:rsidR="00B04474" w:rsidRDefault="00242ACE" w:rsidP="00521D9E">
      <w:pPr>
        <w:spacing w:line="480" w:lineRule="auto"/>
        <w:contextualSpacing/>
        <w:rPr>
          <w:rFonts w:ascii="Times New Roman" w:hAnsi="Times New Roman" w:cs="Times New Roman"/>
          <w:sz w:val="24"/>
          <w:szCs w:val="24"/>
        </w:rPr>
      </w:pPr>
      <w:r>
        <w:rPr>
          <w:noProof/>
        </w:rPr>
        <w:lastRenderedPageBreak/>
        <w:drawing>
          <wp:inline distT="0" distB="0" distL="0" distR="0" wp14:anchorId="776AA54A" wp14:editId="51540B28">
            <wp:extent cx="2847975" cy="2819400"/>
            <wp:effectExtent l="0" t="0" r="9525" b="0"/>
            <wp:docPr id="1" name="Picture 1" descr="F:\NYU\Global Finance\Final Paper\government bonds yields 2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YU\Global Finance\Final Paper\government bonds yields 2010.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7975" cy="2819400"/>
                    </a:xfrm>
                    <a:prstGeom prst="rect">
                      <a:avLst/>
                    </a:prstGeom>
                    <a:noFill/>
                    <a:ln>
                      <a:noFill/>
                    </a:ln>
                  </pic:spPr>
                </pic:pic>
              </a:graphicData>
            </a:graphic>
          </wp:inline>
        </w:drawing>
      </w:r>
      <w:r w:rsidR="00AC3FFB">
        <w:rPr>
          <w:rStyle w:val="FootnoteReference"/>
          <w:rFonts w:ascii="Times New Roman" w:hAnsi="Times New Roman" w:cs="Times New Roman"/>
          <w:sz w:val="24"/>
          <w:szCs w:val="24"/>
        </w:rPr>
        <w:footnoteReference w:id="12"/>
      </w:r>
    </w:p>
    <w:p w14:paraId="38AFD6C4" w14:textId="77777777" w:rsidR="00EF171B" w:rsidRDefault="00EF171B" w:rsidP="00521D9E">
      <w:pPr>
        <w:spacing w:line="480" w:lineRule="auto"/>
        <w:contextualSpacing/>
        <w:rPr>
          <w:rFonts w:ascii="Times New Roman" w:hAnsi="Times New Roman" w:cs="Times New Roman"/>
          <w:sz w:val="24"/>
          <w:szCs w:val="24"/>
        </w:rPr>
      </w:pPr>
      <w:r>
        <w:rPr>
          <w:rFonts w:ascii="Times New Roman" w:hAnsi="Times New Roman" w:cs="Times New Roman"/>
          <w:sz w:val="24"/>
          <w:szCs w:val="24"/>
        </w:rPr>
        <w:t>(Figure 2)</w:t>
      </w:r>
    </w:p>
    <w:p w14:paraId="4CCEEA3B" w14:textId="77777777" w:rsidR="00150957" w:rsidRDefault="00150957" w:rsidP="00521D9E">
      <w:pPr>
        <w:spacing w:line="480" w:lineRule="auto"/>
        <w:contextualSpacing/>
        <w:rPr>
          <w:rFonts w:ascii="Times New Roman" w:hAnsi="Times New Roman" w:cs="Times New Roman"/>
          <w:sz w:val="24"/>
          <w:szCs w:val="24"/>
        </w:rPr>
      </w:pPr>
      <w:r>
        <w:rPr>
          <w:noProof/>
        </w:rPr>
        <w:drawing>
          <wp:inline distT="0" distB="0" distL="0" distR="0" wp14:anchorId="203CE05D" wp14:editId="5A7819AA">
            <wp:extent cx="2466975" cy="36046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470417" cy="3609687"/>
                    </a:xfrm>
                    <a:prstGeom prst="rect">
                      <a:avLst/>
                    </a:prstGeom>
                  </pic:spPr>
                </pic:pic>
              </a:graphicData>
            </a:graphic>
          </wp:inline>
        </w:drawing>
      </w:r>
      <w:r w:rsidR="00EF171B">
        <w:rPr>
          <w:rStyle w:val="FootnoteReference"/>
          <w:rFonts w:ascii="Times New Roman" w:hAnsi="Times New Roman" w:cs="Times New Roman"/>
          <w:sz w:val="24"/>
          <w:szCs w:val="24"/>
        </w:rPr>
        <w:footnoteReference w:id="13"/>
      </w:r>
    </w:p>
    <w:p w14:paraId="38FCA8C9" w14:textId="77777777" w:rsidR="00242ACE" w:rsidRDefault="00B04474" w:rsidP="00521D9E">
      <w:pPr>
        <w:spacing w:line="480" w:lineRule="auto"/>
        <w:contextualSpacing/>
        <w:rPr>
          <w:rFonts w:ascii="Times New Roman" w:hAnsi="Times New Roman" w:cs="Times New Roman"/>
          <w:sz w:val="24"/>
          <w:szCs w:val="24"/>
        </w:rPr>
      </w:pPr>
      <w:r>
        <w:rPr>
          <w:noProof/>
        </w:rPr>
        <w:lastRenderedPageBreak/>
        <w:drawing>
          <wp:inline distT="0" distB="0" distL="0" distR="0" wp14:anchorId="4C7D6C58" wp14:editId="02B240CB">
            <wp:extent cx="3133725" cy="41041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3133725" cy="4104169"/>
                    </a:xfrm>
                    <a:prstGeom prst="rect">
                      <a:avLst/>
                    </a:prstGeom>
                  </pic:spPr>
                </pic:pic>
              </a:graphicData>
            </a:graphic>
          </wp:inline>
        </w:drawing>
      </w:r>
      <w:r>
        <w:rPr>
          <w:rStyle w:val="FootnoteReference"/>
          <w:rFonts w:ascii="Times New Roman" w:hAnsi="Times New Roman" w:cs="Times New Roman"/>
          <w:sz w:val="24"/>
          <w:szCs w:val="24"/>
        </w:rPr>
        <w:footnoteReference w:id="14"/>
      </w:r>
    </w:p>
    <w:p w14:paraId="4FE3E835" w14:textId="77777777" w:rsidR="00652E27" w:rsidRDefault="0033758A" w:rsidP="00652E27">
      <w:pPr>
        <w:spacing w:before="100" w:beforeAutospacing="1" w:line="270" w:lineRule="atLeast"/>
        <w:contextualSpacing/>
        <w:rPr>
          <w:rFonts w:ascii="Times New Roman" w:eastAsia="Times New Roman" w:hAnsi="Times New Roman" w:cs="Times New Roman"/>
          <w:sz w:val="18"/>
          <w:szCs w:val="18"/>
          <w:lang w:eastAsia="zh-CN"/>
        </w:rPr>
      </w:pPr>
      <w:r>
        <w:rPr>
          <w:rFonts w:ascii="Times New Roman" w:eastAsia="Times New Roman" w:hAnsi="Times New Roman" w:cs="Times New Roman"/>
          <w:noProof/>
          <w:sz w:val="18"/>
          <w:szCs w:val="18"/>
        </w:rPr>
        <w:drawing>
          <wp:inline distT="0" distB="0" distL="0" distR="0" wp14:anchorId="0B6C508A" wp14:editId="555A78BA">
            <wp:extent cx="5000625" cy="3324225"/>
            <wp:effectExtent l="19050" t="0" r="9525" b="0"/>
            <wp:docPr id="4" name="Picture 1" descr="Eurozone Ra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zone Ratings"/>
                    <pic:cNvPicPr>
                      <a:picLocks noChangeAspect="1" noChangeArrowheads="1"/>
                    </pic:cNvPicPr>
                  </pic:nvPicPr>
                  <pic:blipFill>
                    <a:blip r:embed="rId10" cstate="print"/>
                    <a:srcRect/>
                    <a:stretch>
                      <a:fillRect/>
                    </a:stretch>
                  </pic:blipFill>
                  <pic:spPr bwMode="auto">
                    <a:xfrm>
                      <a:off x="0" y="0"/>
                      <a:ext cx="5000625" cy="3324225"/>
                    </a:xfrm>
                    <a:prstGeom prst="rect">
                      <a:avLst/>
                    </a:prstGeom>
                    <a:noFill/>
                    <a:ln w="9525">
                      <a:noFill/>
                      <a:miter lim="800000"/>
                      <a:headEnd/>
                      <a:tailEnd/>
                    </a:ln>
                  </pic:spPr>
                </pic:pic>
              </a:graphicData>
            </a:graphic>
          </wp:inline>
        </w:drawing>
      </w:r>
      <w:r>
        <w:rPr>
          <w:rStyle w:val="FootnoteReference"/>
          <w:rFonts w:ascii="Times New Roman" w:eastAsia="Times New Roman" w:hAnsi="Times New Roman" w:cs="Times New Roman"/>
          <w:sz w:val="18"/>
          <w:szCs w:val="18"/>
          <w:lang w:eastAsia="zh-CN"/>
        </w:rPr>
        <w:footnoteReference w:id="15"/>
      </w:r>
    </w:p>
    <w:p w14:paraId="75501424" w14:textId="77777777" w:rsidR="0033758A" w:rsidRPr="00652E27" w:rsidRDefault="00652E27" w:rsidP="00652E27">
      <w:pPr>
        <w:spacing w:before="100" w:beforeAutospacing="1" w:line="270" w:lineRule="atLeast"/>
        <w:contextualSpacing/>
        <w:rPr>
          <w:rFonts w:ascii="Times New Roman" w:eastAsia="Times New Roman" w:hAnsi="Times New Roman" w:cs="Times New Roman"/>
          <w:sz w:val="18"/>
          <w:szCs w:val="18"/>
          <w:lang w:eastAsia="zh-CN"/>
        </w:rPr>
      </w:pPr>
      <w:r>
        <w:rPr>
          <w:rFonts w:ascii="Times New Roman" w:hAnsi="Times New Roman" w:cs="Times New Roman"/>
          <w:sz w:val="24"/>
          <w:szCs w:val="24"/>
        </w:rPr>
        <w:lastRenderedPageBreak/>
        <w:t xml:space="preserve"> </w:t>
      </w:r>
      <w:r w:rsidR="0033758A">
        <w:rPr>
          <w:rFonts w:ascii="Times New Roman" w:hAnsi="Times New Roman" w:cs="Times New Roman"/>
          <w:sz w:val="24"/>
          <w:szCs w:val="24"/>
        </w:rPr>
        <w:t>(Figure 4)</w:t>
      </w:r>
    </w:p>
    <w:p w14:paraId="1C218F95" w14:textId="77777777" w:rsidR="00B04474" w:rsidRDefault="00686D94" w:rsidP="00707841">
      <w:pPr>
        <w:spacing w:line="480" w:lineRule="auto"/>
        <w:contextualSpacing/>
        <w:jc w:val="center"/>
        <w:rPr>
          <w:rFonts w:ascii="Times New Roman" w:hAnsi="Times New Roman" w:cs="Times New Roman"/>
          <w:b/>
          <w:sz w:val="32"/>
          <w:szCs w:val="24"/>
        </w:rPr>
      </w:pPr>
      <w:r>
        <w:rPr>
          <w:rFonts w:ascii="Times New Roman" w:hAnsi="Times New Roman" w:cs="Times New Roman"/>
          <w:b/>
          <w:sz w:val="32"/>
          <w:szCs w:val="24"/>
        </w:rPr>
        <w:t xml:space="preserve">What </w:t>
      </w:r>
      <w:r w:rsidR="00707841">
        <w:rPr>
          <w:rFonts w:ascii="Times New Roman" w:hAnsi="Times New Roman" w:cs="Times New Roman"/>
          <w:b/>
          <w:sz w:val="32"/>
          <w:szCs w:val="24"/>
        </w:rPr>
        <w:t>is the fate</w:t>
      </w:r>
      <w:r>
        <w:rPr>
          <w:rFonts w:ascii="Times New Roman" w:hAnsi="Times New Roman" w:cs="Times New Roman"/>
          <w:b/>
          <w:sz w:val="32"/>
          <w:szCs w:val="24"/>
        </w:rPr>
        <w:t xml:space="preserve"> of the Common Currency?</w:t>
      </w:r>
    </w:p>
    <w:p w14:paraId="4E8E0D30" w14:textId="77777777" w:rsidR="00641248" w:rsidRPr="00B25C8E" w:rsidRDefault="00686D94" w:rsidP="00B25C8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A35EF">
        <w:rPr>
          <w:rFonts w:ascii="Times New Roman" w:hAnsi="Times New Roman" w:cs="Times New Roman"/>
          <w:sz w:val="24"/>
          <w:szCs w:val="24"/>
        </w:rPr>
        <w:t xml:space="preserve">Greece was the first member state to be affected by the Eurozone sovereign debt crisis. From Greece, the contagion soon spread through the rest of </w:t>
      </w:r>
      <w:r w:rsidR="005C223C">
        <w:rPr>
          <w:rFonts w:ascii="Times New Roman" w:hAnsi="Times New Roman" w:cs="Times New Roman"/>
          <w:sz w:val="24"/>
          <w:szCs w:val="24"/>
        </w:rPr>
        <w:t>the Club Med countries</w:t>
      </w:r>
      <w:r w:rsidR="009A35EF">
        <w:rPr>
          <w:rFonts w:ascii="Times New Roman" w:hAnsi="Times New Roman" w:cs="Times New Roman"/>
          <w:sz w:val="24"/>
          <w:szCs w:val="24"/>
        </w:rPr>
        <w:t xml:space="preserve"> and</w:t>
      </w:r>
      <w:r w:rsidR="005C223C">
        <w:rPr>
          <w:rFonts w:ascii="Times New Roman" w:hAnsi="Times New Roman" w:cs="Times New Roman"/>
          <w:sz w:val="24"/>
          <w:szCs w:val="24"/>
        </w:rPr>
        <w:t xml:space="preserve"> then on</w:t>
      </w:r>
      <w:r w:rsidR="009A35EF">
        <w:rPr>
          <w:rFonts w:ascii="Times New Roman" w:hAnsi="Times New Roman" w:cs="Times New Roman"/>
          <w:sz w:val="24"/>
          <w:szCs w:val="24"/>
        </w:rPr>
        <w:t xml:space="preserve"> to Ireland, which suffered a sudden </w:t>
      </w:r>
      <w:r w:rsidR="005C223C">
        <w:rPr>
          <w:rFonts w:ascii="Times New Roman" w:hAnsi="Times New Roman" w:cs="Times New Roman"/>
          <w:sz w:val="24"/>
          <w:szCs w:val="24"/>
        </w:rPr>
        <w:t>burst</w:t>
      </w:r>
      <w:r w:rsidR="009A35EF">
        <w:rPr>
          <w:rFonts w:ascii="Times New Roman" w:hAnsi="Times New Roman" w:cs="Times New Roman"/>
          <w:sz w:val="24"/>
          <w:szCs w:val="24"/>
        </w:rPr>
        <w:t xml:space="preserve"> of the property bubble.</w:t>
      </w:r>
      <w:r w:rsidR="009F0993">
        <w:rPr>
          <w:rFonts w:ascii="Times New Roman" w:hAnsi="Times New Roman" w:cs="Times New Roman"/>
          <w:sz w:val="24"/>
          <w:szCs w:val="24"/>
        </w:rPr>
        <w:t xml:space="preserve"> There are t</w:t>
      </w:r>
      <w:r w:rsidR="00FB6B25">
        <w:rPr>
          <w:rFonts w:ascii="Times New Roman" w:hAnsi="Times New Roman" w:cs="Times New Roman"/>
          <w:sz w:val="24"/>
          <w:szCs w:val="24"/>
        </w:rPr>
        <w:t>hree possibilities for the Euro, the latter two possibilities being far-fetched until the onset of the crisis.</w:t>
      </w:r>
      <w:r w:rsidR="009F0993">
        <w:rPr>
          <w:rFonts w:ascii="Times New Roman" w:hAnsi="Times New Roman" w:cs="Times New Roman"/>
          <w:sz w:val="24"/>
          <w:szCs w:val="24"/>
        </w:rPr>
        <w:t xml:space="preserve"> The first possibility is that the Euro will survive intact, which is the best-case scenario among enthusiasts of European monetary integration.</w:t>
      </w:r>
      <w:r w:rsidR="00F93C6F">
        <w:rPr>
          <w:rStyle w:val="FootnoteReference"/>
          <w:rFonts w:ascii="Times New Roman" w:hAnsi="Times New Roman" w:cs="Times New Roman"/>
          <w:sz w:val="24"/>
          <w:szCs w:val="24"/>
        </w:rPr>
        <w:footnoteReference w:id="16"/>
      </w:r>
      <w:r w:rsidR="009F0993">
        <w:rPr>
          <w:rFonts w:ascii="Times New Roman" w:hAnsi="Times New Roman" w:cs="Times New Roman"/>
          <w:sz w:val="24"/>
          <w:szCs w:val="24"/>
        </w:rPr>
        <w:t xml:space="preserve"> </w:t>
      </w:r>
      <w:r w:rsidR="00641248">
        <w:rPr>
          <w:rFonts w:ascii="Times New Roman" w:hAnsi="Times New Roman" w:cs="Times New Roman"/>
          <w:sz w:val="24"/>
          <w:szCs w:val="24"/>
        </w:rPr>
        <w:t>However, this will require austerity measures or bailouts of troubled governments, in which the latter is hig</w:t>
      </w:r>
      <w:r w:rsidR="00F93C6F">
        <w:rPr>
          <w:rFonts w:ascii="Times New Roman" w:hAnsi="Times New Roman" w:cs="Times New Roman"/>
          <w:sz w:val="24"/>
          <w:szCs w:val="24"/>
        </w:rPr>
        <w:t>h</w:t>
      </w:r>
      <w:r w:rsidR="00641248">
        <w:rPr>
          <w:rFonts w:ascii="Times New Roman" w:hAnsi="Times New Roman" w:cs="Times New Roman"/>
          <w:sz w:val="24"/>
          <w:szCs w:val="24"/>
        </w:rPr>
        <w:t>ly contested in the more fiscally-responsible countries such</w:t>
      </w:r>
      <w:r w:rsidR="004D659E">
        <w:rPr>
          <w:rFonts w:ascii="Times New Roman" w:hAnsi="Times New Roman" w:cs="Times New Roman"/>
          <w:sz w:val="24"/>
          <w:szCs w:val="24"/>
        </w:rPr>
        <w:t xml:space="preserve"> as Germany and the Netherlands, which are highly averse to inflating the Euro and thus compromising the value of the currency.</w:t>
      </w:r>
      <w:r w:rsidR="00B25C8E">
        <w:rPr>
          <w:rFonts w:ascii="Times New Roman" w:hAnsi="Times New Roman" w:cs="Times New Roman"/>
          <w:sz w:val="24"/>
          <w:szCs w:val="24"/>
        </w:rPr>
        <w:t xml:space="preserve"> In fact, per a poll of public opinion in the German tabloid </w:t>
      </w:r>
      <w:r w:rsidR="00B25C8E">
        <w:rPr>
          <w:rFonts w:ascii="Times New Roman" w:hAnsi="Times New Roman" w:cs="Times New Roman"/>
          <w:i/>
          <w:iCs/>
          <w:sz w:val="24"/>
          <w:szCs w:val="24"/>
        </w:rPr>
        <w:t>Bild</w:t>
      </w:r>
      <w:r w:rsidR="00B25C8E">
        <w:rPr>
          <w:rFonts w:ascii="Times New Roman" w:hAnsi="Times New Roman" w:cs="Times New Roman"/>
          <w:sz w:val="24"/>
          <w:szCs w:val="24"/>
        </w:rPr>
        <w:t>, four out of five Germans opposed ANY bailout for Greece and 53 percent favored Greece’s expulsion from the Eurozone. Similar sentiments made it to the Netherlands as well.</w:t>
      </w:r>
      <w:r w:rsidR="00B25C8E">
        <w:rPr>
          <w:rStyle w:val="FootnoteReference"/>
          <w:rFonts w:ascii="Times New Roman" w:hAnsi="Times New Roman" w:cs="Times New Roman"/>
          <w:sz w:val="24"/>
          <w:szCs w:val="24"/>
        </w:rPr>
        <w:footnoteReference w:id="17"/>
      </w:r>
    </w:p>
    <w:p w14:paraId="3A9CBDE9" w14:textId="77777777" w:rsidR="00686D94" w:rsidRDefault="009F0993" w:rsidP="00652E2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second possibility is the split of the Euro into two distinct currencies, the “Northern Euro” and the “Southern Euro.” Countries that would use the Northern Euro would be Finland, Austria, the Netherlands, Germany, Luxembourg, and possibly Belgium and France.</w:t>
      </w:r>
      <w:r w:rsidR="00707841">
        <w:rPr>
          <w:rFonts w:ascii="Times New Roman" w:hAnsi="Times New Roman" w:cs="Times New Roman"/>
          <w:sz w:val="24"/>
          <w:szCs w:val="24"/>
        </w:rPr>
        <w:t xml:space="preserve"> These countries, especially Germany, favor an anti-inflationary monetary policy, due to Germany being twice affected by hyperinflation, once during the We</w:t>
      </w:r>
      <w:r w:rsidR="00652E27">
        <w:rPr>
          <w:rFonts w:ascii="Times New Roman" w:hAnsi="Times New Roman" w:cs="Times New Roman"/>
          <w:sz w:val="24"/>
          <w:szCs w:val="24"/>
        </w:rPr>
        <w:t xml:space="preserve">imar period and the second time </w:t>
      </w:r>
      <w:r w:rsidR="00707841">
        <w:rPr>
          <w:rFonts w:ascii="Times New Roman" w:hAnsi="Times New Roman" w:cs="Times New Roman"/>
          <w:sz w:val="24"/>
          <w:szCs w:val="24"/>
        </w:rPr>
        <w:t>immediately after World War II. In other words, they believe in dear money, not easy money or cheap money.</w:t>
      </w:r>
      <w:r>
        <w:rPr>
          <w:rFonts w:ascii="Times New Roman" w:hAnsi="Times New Roman" w:cs="Times New Roman"/>
          <w:sz w:val="24"/>
          <w:szCs w:val="24"/>
        </w:rPr>
        <w:t xml:space="preserve"> On the other hand, the “Southern Euro” would be composed of Portugal, Italy, </w:t>
      </w:r>
      <w:r>
        <w:rPr>
          <w:rFonts w:ascii="Times New Roman" w:hAnsi="Times New Roman" w:cs="Times New Roman"/>
          <w:sz w:val="24"/>
          <w:szCs w:val="24"/>
        </w:rPr>
        <w:lastRenderedPageBreak/>
        <w:t>Greece, Spain, and possibly Belgium and France (Belgium is in northern Europe, but its fiscal situation is closer to that of many southern European countries).</w:t>
      </w:r>
      <w:r w:rsidR="00707841">
        <w:rPr>
          <w:rStyle w:val="FootnoteReference"/>
          <w:rFonts w:ascii="Times New Roman" w:hAnsi="Times New Roman" w:cs="Times New Roman"/>
          <w:sz w:val="24"/>
          <w:szCs w:val="24"/>
        </w:rPr>
        <w:footnoteReference w:id="18"/>
      </w:r>
      <w:r w:rsidR="00830420">
        <w:rPr>
          <w:rFonts w:ascii="Times New Roman" w:hAnsi="Times New Roman" w:cs="Times New Roman"/>
          <w:sz w:val="24"/>
          <w:szCs w:val="24"/>
        </w:rPr>
        <w:t xml:space="preserve"> The likely result of this scenario is that the “Northern Euro” will be considerably more valuable than the “Southern Euro.” Thus, the economies of the southern Eurozone states would be more competitive as their exports will be more competitive internationally. Conversely, exports from the northern Eurozone states would be considerably more expensive but at least they will not be exposed to higher fiscal risks.</w:t>
      </w:r>
    </w:p>
    <w:p w14:paraId="2A2E5476" w14:textId="77777777" w:rsidR="005C223C" w:rsidRDefault="005C223C" w:rsidP="005C223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third scenario is the partial or full breakup of the Euro into the respective national currencies.</w:t>
      </w:r>
      <w:r w:rsidR="00F93C6F">
        <w:rPr>
          <w:rFonts w:ascii="Times New Roman" w:hAnsi="Times New Roman" w:cs="Times New Roman"/>
          <w:sz w:val="24"/>
          <w:szCs w:val="24"/>
        </w:rPr>
        <w:t xml:space="preserve"> This has been predicted by numerous analysts including Christopher Smallwood and Nouriel Roubini.</w:t>
      </w:r>
      <w:r>
        <w:rPr>
          <w:rFonts w:ascii="Times New Roman" w:hAnsi="Times New Roman" w:cs="Times New Roman"/>
          <w:sz w:val="24"/>
          <w:szCs w:val="24"/>
        </w:rPr>
        <w:t xml:space="preserve"> For instance, Greece would revert to the drachmae, Italy would revert to the lira, and Germany would revert to the Deutschmark.</w:t>
      </w:r>
      <w:r w:rsidR="0033758A">
        <w:rPr>
          <w:rFonts w:ascii="Times New Roman" w:hAnsi="Times New Roman" w:cs="Times New Roman"/>
          <w:sz w:val="24"/>
          <w:szCs w:val="24"/>
        </w:rPr>
        <w:t xml:space="preserve"> In a partial breakup, the Euro and Eurozone would still be in existence, but with fewer members.</w:t>
      </w:r>
      <w:r w:rsidR="00F93C6F">
        <w:rPr>
          <w:rFonts w:ascii="Times New Roman" w:hAnsi="Times New Roman" w:cs="Times New Roman"/>
          <w:sz w:val="24"/>
          <w:szCs w:val="24"/>
        </w:rPr>
        <w:t xml:space="preserve"> This can be accomplished either by members choosing to leave or members removed from the Eurozone</w:t>
      </w:r>
      <w:r w:rsidR="006B073B">
        <w:rPr>
          <w:rFonts w:ascii="Times New Roman" w:hAnsi="Times New Roman" w:cs="Times New Roman"/>
          <w:sz w:val="24"/>
          <w:szCs w:val="24"/>
        </w:rPr>
        <w:t xml:space="preserve"> at the insistence of more powerful members, i. e. Germany,</w:t>
      </w:r>
      <w:r w:rsidR="00F93C6F">
        <w:rPr>
          <w:rFonts w:ascii="Times New Roman" w:hAnsi="Times New Roman" w:cs="Times New Roman"/>
          <w:sz w:val="24"/>
          <w:szCs w:val="24"/>
        </w:rPr>
        <w:t xml:space="preserve"> for repeated failure to adhere to the Maastricht convergence criteria.</w:t>
      </w:r>
      <w:r w:rsidR="00F93C6F">
        <w:rPr>
          <w:rStyle w:val="FootnoteReference"/>
          <w:rFonts w:ascii="Times New Roman" w:hAnsi="Times New Roman" w:cs="Times New Roman"/>
          <w:sz w:val="24"/>
          <w:szCs w:val="24"/>
        </w:rPr>
        <w:footnoteReference w:id="19"/>
      </w:r>
      <w:r w:rsidR="0033758A">
        <w:rPr>
          <w:rFonts w:ascii="Times New Roman" w:hAnsi="Times New Roman" w:cs="Times New Roman"/>
          <w:sz w:val="24"/>
          <w:szCs w:val="24"/>
        </w:rPr>
        <w:t xml:space="preserve"> However, in a full breakup, the Eurozone would completely break up and all member states that use the Euro will revert to their former national currencies as illustrated before.</w:t>
      </w:r>
    </w:p>
    <w:p w14:paraId="4E6AEAEA" w14:textId="77777777" w:rsidR="00675655" w:rsidRDefault="008C43A5" w:rsidP="005C223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Based on the economic fundamentals in the peripheral Eurozone countries (such as Greece, Portugal, and Spain) versus those in the core Eurozone countries (like France, Germany, </w:t>
      </w:r>
    </w:p>
    <w:p w14:paraId="76C2E7C0" w14:textId="77777777" w:rsidR="00675655" w:rsidRDefault="008C43A5" w:rsidP="005C223C">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and the Netherlands), either the second or third scenario would take place in the future. This is because the introduction of the Euro has made the economies of the peripheral member states less competitive due to higher costs. In addition, many core Eurozone states resent having to </w:t>
      </w:r>
      <w:r>
        <w:rPr>
          <w:rFonts w:ascii="Times New Roman" w:hAnsi="Times New Roman" w:cs="Times New Roman"/>
          <w:sz w:val="24"/>
          <w:szCs w:val="24"/>
        </w:rPr>
        <w:lastRenderedPageBreak/>
        <w:t>extend significant bailouts and other subsidies to peripheral states regarded as irresponsible with their finances.</w:t>
      </w:r>
    </w:p>
    <w:p w14:paraId="2E419B4D" w14:textId="77777777" w:rsidR="00675655" w:rsidRDefault="00675655">
      <w:pPr>
        <w:rPr>
          <w:rFonts w:ascii="Times New Roman" w:hAnsi="Times New Roman" w:cs="Times New Roman"/>
          <w:sz w:val="24"/>
          <w:szCs w:val="24"/>
        </w:rPr>
      </w:pPr>
      <w:r>
        <w:rPr>
          <w:rFonts w:ascii="Times New Roman" w:hAnsi="Times New Roman" w:cs="Times New Roman"/>
          <w:sz w:val="24"/>
          <w:szCs w:val="24"/>
        </w:rPr>
        <w:br w:type="page"/>
      </w:r>
    </w:p>
    <w:p w14:paraId="25EF97D7" w14:textId="77777777" w:rsidR="008C43A5" w:rsidRDefault="008C43A5" w:rsidP="005C223C">
      <w:pPr>
        <w:spacing w:line="480" w:lineRule="auto"/>
        <w:contextualSpacing/>
        <w:rPr>
          <w:rFonts w:ascii="Times New Roman" w:hAnsi="Times New Roman" w:cs="Times New Roman"/>
          <w:sz w:val="24"/>
          <w:szCs w:val="24"/>
        </w:rPr>
      </w:pPr>
    </w:p>
    <w:p w14:paraId="73A0D5CA" w14:textId="77777777" w:rsidR="00675655" w:rsidRDefault="00675655" w:rsidP="00675655">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WORKS CITED</w:t>
      </w:r>
    </w:p>
    <w:p w14:paraId="7C36998B" w14:textId="77777777" w:rsidR="00525FB4" w:rsidRPr="00500E29" w:rsidRDefault="00525FB4" w:rsidP="00525FB4">
      <w:pPr>
        <w:spacing w:line="480" w:lineRule="auto"/>
        <w:ind w:firstLine="720"/>
        <w:contextualSpacing/>
        <w:rPr>
          <w:rFonts w:asciiTheme="majorBidi" w:hAnsiTheme="majorBidi" w:cstheme="majorBidi"/>
          <w:sz w:val="24"/>
          <w:szCs w:val="24"/>
        </w:rPr>
      </w:pPr>
      <w:r w:rsidRPr="00500E29">
        <w:rPr>
          <w:rFonts w:asciiTheme="majorBidi" w:hAnsiTheme="majorBidi" w:cstheme="majorBidi"/>
          <w:sz w:val="24"/>
          <w:szCs w:val="24"/>
        </w:rPr>
        <w:t xml:space="preserve">-----. 2010. “A Year in Nine Pictures.” </w:t>
      </w:r>
      <w:r w:rsidRPr="00500E29">
        <w:rPr>
          <w:rFonts w:asciiTheme="majorBidi" w:hAnsiTheme="majorBidi" w:cstheme="majorBidi"/>
          <w:i/>
          <w:sz w:val="24"/>
          <w:szCs w:val="24"/>
        </w:rPr>
        <w:t>The Economist.</w:t>
      </w:r>
      <w:r w:rsidRPr="00500E29">
        <w:rPr>
          <w:rFonts w:asciiTheme="majorBidi" w:hAnsiTheme="majorBidi" w:cstheme="majorBidi"/>
          <w:sz w:val="24"/>
          <w:szCs w:val="24"/>
        </w:rPr>
        <w:t xml:space="preserve"> December 29, 2010</w:t>
      </w:r>
    </w:p>
    <w:p w14:paraId="55AD70BE" w14:textId="77777777" w:rsidR="00675655" w:rsidRPr="00500E29" w:rsidRDefault="00675655" w:rsidP="00525FB4">
      <w:pPr>
        <w:spacing w:line="480" w:lineRule="auto"/>
        <w:ind w:firstLine="720"/>
        <w:contextualSpacing/>
        <w:rPr>
          <w:rFonts w:asciiTheme="majorBidi" w:hAnsiTheme="majorBidi" w:cstheme="majorBidi"/>
          <w:sz w:val="24"/>
          <w:szCs w:val="24"/>
        </w:rPr>
      </w:pPr>
      <w:r w:rsidRPr="00500E29">
        <w:rPr>
          <w:rFonts w:asciiTheme="majorBidi" w:hAnsiTheme="majorBidi" w:cstheme="majorBidi"/>
          <w:sz w:val="24"/>
          <w:szCs w:val="24"/>
        </w:rPr>
        <w:t xml:space="preserve">-----. 2010. “Analysis: Thinking the unthinkable – a euro zone breakup.” </w:t>
      </w:r>
      <w:hyperlink r:id="rId11" w:history="1">
        <w:r w:rsidRPr="00500E29">
          <w:rPr>
            <w:rStyle w:val="Hyperlink"/>
            <w:rFonts w:asciiTheme="majorBidi" w:hAnsiTheme="majorBidi" w:cstheme="majorBidi"/>
            <w:sz w:val="24"/>
            <w:szCs w:val="24"/>
          </w:rPr>
          <w:t>http://www.cnbc.com/id/40371286/Analysis_Thinking_the_unthinkable_a_euro_zone_breakup. November 26</w:t>
        </w:r>
      </w:hyperlink>
      <w:r w:rsidRPr="00500E29">
        <w:rPr>
          <w:rFonts w:asciiTheme="majorBidi" w:hAnsiTheme="majorBidi" w:cstheme="majorBidi"/>
          <w:sz w:val="24"/>
          <w:szCs w:val="24"/>
        </w:rPr>
        <w:t>, 2010.</w:t>
      </w:r>
    </w:p>
    <w:p w14:paraId="79CAFD9D" w14:textId="77777777" w:rsidR="00525FB4" w:rsidRPr="00500E29" w:rsidRDefault="00525FB4" w:rsidP="00525FB4">
      <w:pPr>
        <w:spacing w:line="480" w:lineRule="auto"/>
        <w:ind w:firstLine="720"/>
        <w:contextualSpacing/>
        <w:rPr>
          <w:rFonts w:asciiTheme="majorBidi" w:hAnsiTheme="majorBidi" w:cstheme="majorBidi"/>
          <w:sz w:val="24"/>
          <w:szCs w:val="24"/>
        </w:rPr>
      </w:pPr>
      <w:r w:rsidRPr="00500E29">
        <w:rPr>
          <w:rFonts w:asciiTheme="majorBidi" w:hAnsiTheme="majorBidi" w:cstheme="majorBidi"/>
          <w:sz w:val="24"/>
          <w:szCs w:val="24"/>
        </w:rPr>
        <w:t xml:space="preserve">-----. 2010. “Eurozone Long Term Sovereign Debt Ratings.” </w:t>
      </w:r>
      <w:hyperlink r:id="rId12" w:history="1">
        <w:r w:rsidRPr="00500E29">
          <w:rPr>
            <w:rStyle w:val="Hyperlink"/>
            <w:rFonts w:asciiTheme="majorBidi" w:hAnsiTheme="majorBidi" w:cstheme="majorBidi"/>
            <w:sz w:val="24"/>
            <w:szCs w:val="24"/>
          </w:rPr>
          <w:t>http://www.paddypowertrader.com/blog/index.php/views-opinions/eurozone-long-term-sovereign-debt-ratings</w:t>
        </w:r>
      </w:hyperlink>
      <w:r w:rsidRPr="00500E29">
        <w:rPr>
          <w:rFonts w:asciiTheme="majorBidi" w:hAnsiTheme="majorBidi" w:cstheme="majorBidi"/>
          <w:sz w:val="24"/>
          <w:szCs w:val="24"/>
        </w:rPr>
        <w:t>, April 28, 2010.</w:t>
      </w:r>
    </w:p>
    <w:p w14:paraId="7B707302" w14:textId="77777777" w:rsidR="00500E29" w:rsidRPr="00500E29" w:rsidRDefault="00500E29" w:rsidP="00500E29">
      <w:pPr>
        <w:spacing w:line="480" w:lineRule="auto"/>
        <w:ind w:firstLine="720"/>
        <w:contextualSpacing/>
        <w:rPr>
          <w:rFonts w:asciiTheme="majorBidi" w:hAnsiTheme="majorBidi" w:cstheme="majorBidi"/>
          <w:sz w:val="24"/>
          <w:szCs w:val="24"/>
        </w:rPr>
      </w:pPr>
      <w:r w:rsidRPr="00500E29">
        <w:rPr>
          <w:rFonts w:asciiTheme="majorBidi" w:hAnsiTheme="majorBidi" w:cstheme="majorBidi"/>
          <w:sz w:val="24"/>
          <w:szCs w:val="24"/>
        </w:rPr>
        <w:t xml:space="preserve">-----. 2010. “Not so risk-free.” </w:t>
      </w:r>
      <w:r w:rsidRPr="00500E29">
        <w:rPr>
          <w:rFonts w:asciiTheme="majorBidi" w:hAnsiTheme="majorBidi" w:cstheme="majorBidi"/>
          <w:i/>
          <w:sz w:val="24"/>
          <w:szCs w:val="24"/>
        </w:rPr>
        <w:t>The Economist</w:t>
      </w:r>
      <w:r w:rsidRPr="00500E29">
        <w:rPr>
          <w:rFonts w:asciiTheme="majorBidi" w:hAnsiTheme="majorBidi" w:cstheme="majorBidi"/>
          <w:sz w:val="24"/>
          <w:szCs w:val="24"/>
        </w:rPr>
        <w:t xml:space="preserve">. February 11, 2010. </w:t>
      </w:r>
      <w:hyperlink r:id="rId13" w:history="1">
        <w:r w:rsidRPr="00500E29">
          <w:rPr>
            <w:rStyle w:val="Hyperlink"/>
            <w:rFonts w:asciiTheme="majorBidi" w:hAnsiTheme="majorBidi" w:cstheme="majorBidi"/>
            <w:sz w:val="24"/>
            <w:szCs w:val="24"/>
          </w:rPr>
          <w:t>http://www.economist.com/node/15498265?story_id=15498265</w:t>
        </w:r>
      </w:hyperlink>
    </w:p>
    <w:p w14:paraId="23F9010D" w14:textId="77777777" w:rsidR="00675655" w:rsidRPr="00500E29" w:rsidRDefault="00675655" w:rsidP="00525FB4">
      <w:pPr>
        <w:spacing w:line="480" w:lineRule="auto"/>
        <w:ind w:firstLine="720"/>
        <w:contextualSpacing/>
        <w:rPr>
          <w:rFonts w:asciiTheme="majorBidi" w:hAnsiTheme="majorBidi" w:cstheme="majorBidi"/>
          <w:sz w:val="24"/>
          <w:szCs w:val="24"/>
        </w:rPr>
      </w:pPr>
      <w:r w:rsidRPr="00500E29">
        <w:rPr>
          <w:rFonts w:asciiTheme="majorBidi" w:hAnsiTheme="majorBidi" w:cstheme="majorBidi"/>
          <w:sz w:val="24"/>
          <w:szCs w:val="24"/>
        </w:rPr>
        <w:t xml:space="preserve">-----. 2010. “Zero Chance of Euro Zone Break Up: EU Official” </w:t>
      </w:r>
      <w:hyperlink r:id="rId14" w:history="1">
        <w:r w:rsidRPr="00500E29">
          <w:rPr>
            <w:rStyle w:val="Hyperlink"/>
            <w:rFonts w:asciiTheme="majorBidi" w:hAnsiTheme="majorBidi" w:cstheme="majorBidi"/>
            <w:sz w:val="24"/>
            <w:szCs w:val="24"/>
          </w:rPr>
          <w:t>http://www.cnbc.com/id/40367959/Zero_Chance_of_Euro_Zone_Break_Up_EU_Official. November 25</w:t>
        </w:r>
      </w:hyperlink>
      <w:r w:rsidRPr="00500E29">
        <w:rPr>
          <w:rFonts w:asciiTheme="majorBidi" w:hAnsiTheme="majorBidi" w:cstheme="majorBidi"/>
          <w:sz w:val="24"/>
          <w:szCs w:val="24"/>
        </w:rPr>
        <w:t>, 2010</w:t>
      </w:r>
    </w:p>
    <w:p w14:paraId="22AA03CD" w14:textId="77777777" w:rsidR="00525FB4" w:rsidRPr="00500E29" w:rsidRDefault="00500E29" w:rsidP="00525FB4">
      <w:pPr>
        <w:spacing w:line="480" w:lineRule="auto"/>
        <w:ind w:firstLine="720"/>
        <w:contextualSpacing/>
        <w:rPr>
          <w:rFonts w:asciiTheme="majorBidi" w:hAnsiTheme="majorBidi" w:cstheme="majorBidi"/>
          <w:sz w:val="24"/>
          <w:szCs w:val="24"/>
        </w:rPr>
      </w:pPr>
      <w:r w:rsidRPr="00500E29">
        <w:rPr>
          <w:rFonts w:asciiTheme="majorBidi" w:hAnsiTheme="majorBidi" w:cstheme="majorBidi"/>
          <w:sz w:val="24"/>
          <w:szCs w:val="24"/>
        </w:rPr>
        <w:t>Angelov, Georgi</w:t>
      </w:r>
      <w:r w:rsidR="00525FB4" w:rsidRPr="00500E29">
        <w:rPr>
          <w:rFonts w:asciiTheme="majorBidi" w:hAnsiTheme="majorBidi" w:cstheme="majorBidi"/>
          <w:sz w:val="24"/>
          <w:szCs w:val="24"/>
        </w:rPr>
        <w:t xml:space="preserve">. 2006. “How to Gate-Crash the Eurozone.” </w:t>
      </w:r>
      <w:r w:rsidR="00525FB4" w:rsidRPr="00500E29">
        <w:rPr>
          <w:rFonts w:asciiTheme="majorBidi" w:hAnsiTheme="majorBidi" w:cstheme="majorBidi"/>
          <w:i/>
          <w:sz w:val="24"/>
          <w:szCs w:val="24"/>
        </w:rPr>
        <w:t>Europe’s World.</w:t>
      </w:r>
      <w:r w:rsidR="00525FB4" w:rsidRPr="00500E29">
        <w:rPr>
          <w:rFonts w:asciiTheme="majorBidi" w:hAnsiTheme="majorBidi" w:cstheme="majorBidi"/>
          <w:sz w:val="24"/>
          <w:szCs w:val="24"/>
        </w:rPr>
        <w:t xml:space="preserve"> National Bureau of Economic Research. </w:t>
      </w:r>
      <w:hyperlink r:id="rId15" w:history="1">
        <w:r w:rsidR="00525FB4" w:rsidRPr="00500E29">
          <w:rPr>
            <w:rStyle w:val="Hyperlink"/>
            <w:rFonts w:asciiTheme="majorBidi" w:hAnsiTheme="majorBidi" w:cstheme="majorBidi"/>
            <w:sz w:val="24"/>
            <w:szCs w:val="24"/>
          </w:rPr>
          <w:t>http://www.nber.org/~wbuiter/angelov.pdf</w:t>
        </w:r>
      </w:hyperlink>
    </w:p>
    <w:p w14:paraId="6F608C29" w14:textId="77777777" w:rsidR="00500E29" w:rsidRPr="00500E29" w:rsidRDefault="00500E29" w:rsidP="00500E29">
      <w:pPr>
        <w:spacing w:line="480" w:lineRule="auto"/>
        <w:ind w:firstLine="720"/>
        <w:contextualSpacing/>
        <w:rPr>
          <w:rFonts w:asciiTheme="majorBidi" w:hAnsiTheme="majorBidi" w:cstheme="majorBidi"/>
          <w:sz w:val="24"/>
          <w:szCs w:val="24"/>
        </w:rPr>
      </w:pPr>
      <w:r w:rsidRPr="00500E29">
        <w:rPr>
          <w:rFonts w:asciiTheme="majorBidi" w:hAnsiTheme="majorBidi" w:cstheme="majorBidi"/>
          <w:sz w:val="24"/>
          <w:szCs w:val="24"/>
        </w:rPr>
        <w:t xml:space="preserve">Lynn, Matthew. 2011. </w:t>
      </w:r>
      <w:r w:rsidRPr="00500E29">
        <w:rPr>
          <w:rFonts w:asciiTheme="majorBidi" w:hAnsiTheme="majorBidi" w:cstheme="majorBidi"/>
          <w:i/>
          <w:sz w:val="24"/>
          <w:szCs w:val="24"/>
        </w:rPr>
        <w:t xml:space="preserve">Bust: Greece, the Euro, and the Sovereign Debt Crisis. </w:t>
      </w:r>
      <w:r w:rsidRPr="00500E29">
        <w:rPr>
          <w:rFonts w:asciiTheme="majorBidi" w:hAnsiTheme="majorBidi" w:cstheme="majorBidi"/>
          <w:sz w:val="24"/>
          <w:szCs w:val="24"/>
        </w:rPr>
        <w:t>Hoboken, NJ: John Wiley and Sons: 59.</w:t>
      </w:r>
    </w:p>
    <w:p w14:paraId="65EE060A" w14:textId="77777777" w:rsidR="00675655" w:rsidRPr="00500E29" w:rsidRDefault="00500E29" w:rsidP="00500E29">
      <w:pPr>
        <w:spacing w:line="480" w:lineRule="auto"/>
        <w:ind w:firstLine="720"/>
        <w:contextualSpacing/>
        <w:rPr>
          <w:rFonts w:asciiTheme="majorBidi" w:hAnsiTheme="majorBidi" w:cstheme="majorBidi"/>
          <w:sz w:val="24"/>
          <w:szCs w:val="24"/>
        </w:rPr>
      </w:pPr>
      <w:r w:rsidRPr="00500E29">
        <w:rPr>
          <w:rFonts w:asciiTheme="majorBidi" w:hAnsiTheme="majorBidi" w:cstheme="majorBidi"/>
          <w:sz w:val="24"/>
          <w:szCs w:val="24"/>
        </w:rPr>
        <w:t>Schultz, Stefan</w:t>
      </w:r>
      <w:r w:rsidR="00675655" w:rsidRPr="00500E29">
        <w:rPr>
          <w:rFonts w:asciiTheme="majorBidi" w:hAnsiTheme="majorBidi" w:cstheme="majorBidi"/>
          <w:sz w:val="24"/>
          <w:szCs w:val="24"/>
        </w:rPr>
        <w:t xml:space="preserve">. 2010. “Five Threats to the Common Currency.” </w:t>
      </w:r>
      <w:r w:rsidR="00675655" w:rsidRPr="00500E29">
        <w:rPr>
          <w:rFonts w:asciiTheme="majorBidi" w:hAnsiTheme="majorBidi" w:cstheme="majorBidi"/>
          <w:i/>
          <w:sz w:val="24"/>
          <w:szCs w:val="24"/>
        </w:rPr>
        <w:t>Spiegel Online.</w:t>
      </w:r>
      <w:r w:rsidR="00675655" w:rsidRPr="00500E29">
        <w:rPr>
          <w:rFonts w:asciiTheme="majorBidi" w:hAnsiTheme="majorBidi" w:cstheme="majorBidi"/>
          <w:sz w:val="24"/>
          <w:szCs w:val="24"/>
        </w:rPr>
        <w:t xml:space="preserve"> </w:t>
      </w:r>
      <w:hyperlink r:id="rId16" w:history="1">
        <w:r w:rsidR="00675655" w:rsidRPr="00500E29">
          <w:rPr>
            <w:rStyle w:val="Hyperlink"/>
            <w:rFonts w:asciiTheme="majorBidi" w:hAnsiTheme="majorBidi" w:cstheme="majorBidi"/>
            <w:sz w:val="24"/>
            <w:szCs w:val="24"/>
          </w:rPr>
          <w:t>http://www.spiegel.de/international/europe/0,1518,677214,00.html</w:t>
        </w:r>
      </w:hyperlink>
    </w:p>
    <w:sectPr w:rsidR="00675655" w:rsidRPr="00500E29" w:rsidSect="003451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7FEFD" w14:textId="77777777" w:rsidR="002D46CF" w:rsidRDefault="002D46CF" w:rsidP="0038765C">
      <w:pPr>
        <w:spacing w:after="0" w:line="240" w:lineRule="auto"/>
      </w:pPr>
      <w:r>
        <w:separator/>
      </w:r>
    </w:p>
  </w:endnote>
  <w:endnote w:type="continuationSeparator" w:id="0">
    <w:p w14:paraId="305DA368" w14:textId="77777777" w:rsidR="002D46CF" w:rsidRDefault="002D46CF" w:rsidP="0038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C8170" w14:textId="77777777" w:rsidR="002D46CF" w:rsidRDefault="002D46CF" w:rsidP="0038765C">
      <w:pPr>
        <w:spacing w:after="0" w:line="240" w:lineRule="auto"/>
      </w:pPr>
      <w:r>
        <w:separator/>
      </w:r>
    </w:p>
  </w:footnote>
  <w:footnote w:type="continuationSeparator" w:id="0">
    <w:p w14:paraId="5B5C7B5A" w14:textId="77777777" w:rsidR="002D46CF" w:rsidRDefault="002D46CF" w:rsidP="0038765C">
      <w:pPr>
        <w:spacing w:after="0" w:line="240" w:lineRule="auto"/>
      </w:pPr>
      <w:r>
        <w:continuationSeparator/>
      </w:r>
    </w:p>
  </w:footnote>
  <w:footnote w:id="1">
    <w:p w14:paraId="6038E59F" w14:textId="77777777" w:rsidR="00525FB4" w:rsidRDefault="00525FB4" w:rsidP="00A37E44">
      <w:pPr>
        <w:pStyle w:val="FootnoteText"/>
      </w:pPr>
      <w:r>
        <w:rPr>
          <w:rStyle w:val="FootnoteReference"/>
        </w:rPr>
        <w:footnoteRef/>
      </w:r>
      <w:r>
        <w:t xml:space="preserve"> </w:t>
      </w:r>
      <w:r w:rsidR="00A37E44">
        <w:t>Angelov, Georgi</w:t>
      </w:r>
      <w:r>
        <w:t xml:space="preserve">. 2006. “How to Gate-Crash the Eurozone.” </w:t>
      </w:r>
      <w:r>
        <w:rPr>
          <w:i/>
        </w:rPr>
        <w:t>Europe’s World.</w:t>
      </w:r>
      <w:r>
        <w:t xml:space="preserve"> National Bureau of Economic Research. </w:t>
      </w:r>
      <w:r w:rsidRPr="00ED7BE6">
        <w:t>http://www.nber.org/~wbuiter/angelov.pdf</w:t>
      </w:r>
    </w:p>
  </w:footnote>
  <w:footnote w:id="2">
    <w:p w14:paraId="01CDE520" w14:textId="77777777" w:rsidR="00525FB4" w:rsidRPr="00007C23" w:rsidRDefault="00525FB4">
      <w:pPr>
        <w:pStyle w:val="FootnoteText"/>
      </w:pPr>
      <w:r>
        <w:rPr>
          <w:rStyle w:val="FootnoteReference"/>
        </w:rPr>
        <w:footnoteRef/>
      </w:r>
      <w:r>
        <w:t xml:space="preserve"> </w:t>
      </w:r>
      <w:r>
        <w:rPr>
          <w:i/>
        </w:rPr>
        <w:t xml:space="preserve">Ibid., </w:t>
      </w:r>
      <w:r>
        <w:t>82.</w:t>
      </w:r>
    </w:p>
  </w:footnote>
  <w:footnote w:id="3">
    <w:p w14:paraId="52DBA05D" w14:textId="77777777" w:rsidR="00525FB4" w:rsidRDefault="00525FB4">
      <w:pPr>
        <w:pStyle w:val="FootnoteText"/>
      </w:pPr>
      <w:r>
        <w:rPr>
          <w:rStyle w:val="FootnoteReference"/>
        </w:rPr>
        <w:footnoteRef/>
      </w:r>
      <w:r>
        <w:t xml:space="preserve"> Formerly known as the “PIGS” countries (Portugal, Italy/Ireland, Greece, and Spain).</w:t>
      </w:r>
    </w:p>
  </w:footnote>
  <w:footnote w:id="4">
    <w:p w14:paraId="4EA40247" w14:textId="77777777" w:rsidR="00525FB4" w:rsidRPr="0038765C" w:rsidRDefault="00525FB4" w:rsidP="00A37E44">
      <w:pPr>
        <w:pStyle w:val="FootnoteText"/>
      </w:pPr>
      <w:r>
        <w:rPr>
          <w:rStyle w:val="FootnoteReference"/>
        </w:rPr>
        <w:footnoteRef/>
      </w:r>
      <w:r>
        <w:t xml:space="preserve"> </w:t>
      </w:r>
      <w:r w:rsidR="00A37E44">
        <w:t>Lynn, Matthew</w:t>
      </w:r>
      <w:r>
        <w:t xml:space="preserve">. 2011. </w:t>
      </w:r>
      <w:r>
        <w:rPr>
          <w:i/>
        </w:rPr>
        <w:t xml:space="preserve">Bust: Greece, the Euro, and the Sovereign Debt Crisis. </w:t>
      </w:r>
      <w:r>
        <w:t>Hoboken, NJ: John Wiley and Sons: 59.</w:t>
      </w:r>
    </w:p>
  </w:footnote>
  <w:footnote w:id="5">
    <w:p w14:paraId="04F83D41" w14:textId="77777777" w:rsidR="00525FB4" w:rsidRDefault="00525FB4">
      <w:pPr>
        <w:pStyle w:val="FootnoteText"/>
      </w:pPr>
      <w:r>
        <w:rPr>
          <w:rStyle w:val="FootnoteReference"/>
        </w:rPr>
        <w:footnoteRef/>
      </w:r>
      <w:r>
        <w:t xml:space="preserve"> German for “Economic miracle.”</w:t>
      </w:r>
    </w:p>
  </w:footnote>
  <w:footnote w:id="6">
    <w:p w14:paraId="4252A9D3" w14:textId="77777777" w:rsidR="00525FB4" w:rsidRPr="00A46D76" w:rsidRDefault="00525FB4">
      <w:pPr>
        <w:pStyle w:val="FootnoteText"/>
      </w:pPr>
      <w:r>
        <w:rPr>
          <w:rStyle w:val="FootnoteReference"/>
        </w:rPr>
        <w:footnoteRef/>
      </w:r>
      <w:r>
        <w:t xml:space="preserve"> However, none of these brands were industrial concerns. The brands mentioned in </w:t>
      </w:r>
      <w:r>
        <w:rPr>
          <w:i/>
        </w:rPr>
        <w:t>Bust</w:t>
      </w:r>
      <w:r>
        <w:t xml:space="preserve"> are Banco Santander (Finance) and Zara (Fashion). See Lynn, 61.</w:t>
      </w:r>
    </w:p>
  </w:footnote>
  <w:footnote w:id="7">
    <w:p w14:paraId="7849DADE" w14:textId="77777777" w:rsidR="00525FB4" w:rsidRDefault="00525FB4" w:rsidP="00B03EE9">
      <w:pPr>
        <w:pStyle w:val="FootnoteText"/>
      </w:pPr>
      <w:r>
        <w:rPr>
          <w:rStyle w:val="FootnoteReference"/>
        </w:rPr>
        <w:footnoteRef/>
      </w:r>
      <w:r>
        <w:t>Lynn, 69.</w:t>
      </w:r>
    </w:p>
  </w:footnote>
  <w:footnote w:id="8">
    <w:p w14:paraId="445E60F9" w14:textId="77777777" w:rsidR="00525FB4" w:rsidRDefault="00525FB4">
      <w:pPr>
        <w:pStyle w:val="FootnoteText"/>
      </w:pPr>
      <w:r>
        <w:rPr>
          <w:rStyle w:val="FootnoteReference"/>
        </w:rPr>
        <w:footnoteRef/>
      </w:r>
      <w:r>
        <w:t xml:space="preserve"> OECD</w:t>
      </w:r>
    </w:p>
  </w:footnote>
  <w:footnote w:id="9">
    <w:p w14:paraId="73BB00B4" w14:textId="77777777" w:rsidR="00525FB4" w:rsidRDefault="00525FB4">
      <w:pPr>
        <w:pStyle w:val="FootnoteText"/>
      </w:pPr>
      <w:r>
        <w:rPr>
          <w:rStyle w:val="FootnoteReference"/>
        </w:rPr>
        <w:footnoteRef/>
      </w:r>
      <w:r>
        <w:t xml:space="preserve"> Lynn, 61.</w:t>
      </w:r>
    </w:p>
  </w:footnote>
  <w:footnote w:id="10">
    <w:p w14:paraId="6816E7D5" w14:textId="77777777" w:rsidR="00525FB4" w:rsidRPr="00B03EE9" w:rsidRDefault="00525FB4">
      <w:pPr>
        <w:pStyle w:val="FootnoteText"/>
      </w:pPr>
      <w:r>
        <w:rPr>
          <w:rStyle w:val="FootnoteReference"/>
        </w:rPr>
        <w:footnoteRef/>
      </w:r>
      <w:r>
        <w:t xml:space="preserve"> </w:t>
      </w:r>
      <w:r>
        <w:rPr>
          <w:i/>
          <w:iCs/>
        </w:rPr>
        <w:t xml:space="preserve">Ibid., </w:t>
      </w:r>
      <w:r>
        <w:t>74.</w:t>
      </w:r>
    </w:p>
  </w:footnote>
  <w:footnote w:id="11">
    <w:p w14:paraId="51C8CCB1" w14:textId="77777777" w:rsidR="00525FB4" w:rsidRPr="00B03EE9" w:rsidRDefault="00525FB4">
      <w:pPr>
        <w:pStyle w:val="FootnoteText"/>
      </w:pPr>
      <w:r>
        <w:rPr>
          <w:rStyle w:val="FootnoteReference"/>
        </w:rPr>
        <w:footnoteRef/>
      </w:r>
      <w:r>
        <w:t xml:space="preserve"> </w:t>
      </w:r>
      <w:r>
        <w:rPr>
          <w:i/>
          <w:iCs/>
        </w:rPr>
        <w:t xml:space="preserve">Ibid., </w:t>
      </w:r>
      <w:r>
        <w:t>127. Figure current as of 2009.</w:t>
      </w:r>
    </w:p>
  </w:footnote>
  <w:footnote w:id="12">
    <w:p w14:paraId="1F6174E0" w14:textId="77777777" w:rsidR="00525FB4" w:rsidRPr="002A077C" w:rsidRDefault="00525FB4">
      <w:pPr>
        <w:pStyle w:val="FootnoteText"/>
      </w:pPr>
      <w:r>
        <w:rPr>
          <w:rStyle w:val="FootnoteReference"/>
        </w:rPr>
        <w:footnoteRef/>
      </w:r>
      <w:r>
        <w:t xml:space="preserve"> -----. 2010. “A Year in Nine Pictures.” </w:t>
      </w:r>
      <w:r>
        <w:rPr>
          <w:i/>
        </w:rPr>
        <w:t>The Economist.</w:t>
      </w:r>
      <w:r>
        <w:t xml:space="preserve"> December 29, 2010</w:t>
      </w:r>
    </w:p>
  </w:footnote>
  <w:footnote w:id="13">
    <w:p w14:paraId="78CD6F4B" w14:textId="77777777" w:rsidR="00525FB4" w:rsidRPr="00EF171B" w:rsidRDefault="00525FB4">
      <w:pPr>
        <w:pStyle w:val="FootnoteText"/>
      </w:pPr>
      <w:r>
        <w:rPr>
          <w:rStyle w:val="FootnoteReference"/>
        </w:rPr>
        <w:footnoteRef/>
      </w:r>
      <w:r>
        <w:t xml:space="preserve"> -----. 2010. “Not so risk-free.” </w:t>
      </w:r>
      <w:r>
        <w:rPr>
          <w:i/>
        </w:rPr>
        <w:t>The Economist</w:t>
      </w:r>
      <w:r>
        <w:t xml:space="preserve">. February 11, 2010. </w:t>
      </w:r>
      <w:r w:rsidRPr="00EF171B">
        <w:t>http://www.economist.com/node/15498265?story_id=15498265</w:t>
      </w:r>
    </w:p>
  </w:footnote>
  <w:footnote w:id="14">
    <w:p w14:paraId="7C3379BE" w14:textId="77777777" w:rsidR="00525FB4" w:rsidRPr="00B04474" w:rsidRDefault="00525FB4" w:rsidP="00A37E44">
      <w:pPr>
        <w:pStyle w:val="FootnoteText"/>
      </w:pPr>
      <w:r>
        <w:rPr>
          <w:rStyle w:val="FootnoteReference"/>
        </w:rPr>
        <w:footnoteRef/>
      </w:r>
      <w:r>
        <w:t xml:space="preserve"> </w:t>
      </w:r>
      <w:r w:rsidR="00A37E44">
        <w:t>Schultz, Stefan</w:t>
      </w:r>
      <w:r>
        <w:t xml:space="preserve">. 2010. “Five Threats to the Common Currency.” </w:t>
      </w:r>
      <w:r>
        <w:rPr>
          <w:i/>
        </w:rPr>
        <w:t>Spiegel Online.</w:t>
      </w:r>
      <w:r>
        <w:t xml:space="preserve"> </w:t>
      </w:r>
      <w:hyperlink r:id="rId1" w:history="1">
        <w:r w:rsidRPr="00067B77">
          <w:rPr>
            <w:rStyle w:val="Hyperlink"/>
          </w:rPr>
          <w:t>http://www.spiegel.de/international/europe/0,1518,677214,00.html</w:t>
        </w:r>
      </w:hyperlink>
      <w:r>
        <w:t xml:space="preserve"> </w:t>
      </w:r>
    </w:p>
  </w:footnote>
  <w:footnote w:id="15">
    <w:p w14:paraId="5DD264A2" w14:textId="77777777" w:rsidR="00525FB4" w:rsidRDefault="00525FB4">
      <w:pPr>
        <w:pStyle w:val="FootnoteText"/>
      </w:pPr>
      <w:r>
        <w:rPr>
          <w:rStyle w:val="FootnoteReference"/>
        </w:rPr>
        <w:footnoteRef/>
      </w:r>
      <w:r>
        <w:t xml:space="preserve"> -----. 2010. “Eurozone Long Term Sovereign Debt Ratings.” </w:t>
      </w:r>
      <w:hyperlink r:id="rId2" w:history="1">
        <w:r w:rsidRPr="007D4AD3">
          <w:rPr>
            <w:rStyle w:val="Hyperlink"/>
          </w:rPr>
          <w:t>http://www.paddypowertrader.com/blog/index.php/views-opinions/eurozone-long-term-sovereign-debt-ratings</w:t>
        </w:r>
      </w:hyperlink>
      <w:r>
        <w:t>, April 28, 2010.</w:t>
      </w:r>
    </w:p>
  </w:footnote>
  <w:footnote w:id="16">
    <w:p w14:paraId="6B6B895E" w14:textId="77777777" w:rsidR="00525FB4" w:rsidRDefault="00525FB4">
      <w:pPr>
        <w:pStyle w:val="FootnoteText"/>
      </w:pPr>
      <w:r>
        <w:rPr>
          <w:rStyle w:val="FootnoteReference"/>
        </w:rPr>
        <w:footnoteRef/>
      </w:r>
      <w:r>
        <w:t xml:space="preserve"> -----. 2010. “Zero Chance of Euro Zone Break Up: EU Official” </w:t>
      </w:r>
      <w:hyperlink r:id="rId3" w:history="1">
        <w:r w:rsidRPr="005C53A1">
          <w:rPr>
            <w:rStyle w:val="Hyperlink"/>
          </w:rPr>
          <w:t>http://www.cnbc.com/id/40367959/Zero_Chance_of_Euro_Zone_Break_Up_EU_Official. November 25</w:t>
        </w:r>
      </w:hyperlink>
      <w:r>
        <w:t>, 2010</w:t>
      </w:r>
    </w:p>
  </w:footnote>
  <w:footnote w:id="17">
    <w:p w14:paraId="1781D848" w14:textId="77777777" w:rsidR="00525FB4" w:rsidRPr="00B25C8E" w:rsidRDefault="00525FB4">
      <w:pPr>
        <w:pStyle w:val="FootnoteText"/>
      </w:pPr>
      <w:r>
        <w:rPr>
          <w:rStyle w:val="FootnoteReference"/>
        </w:rPr>
        <w:footnoteRef/>
      </w:r>
      <w:r>
        <w:t xml:space="preserve"> Lynn, 138.</w:t>
      </w:r>
    </w:p>
  </w:footnote>
  <w:footnote w:id="18">
    <w:p w14:paraId="6B5302D1" w14:textId="77777777" w:rsidR="00525FB4" w:rsidRDefault="00525FB4">
      <w:pPr>
        <w:pStyle w:val="FootnoteText"/>
      </w:pPr>
      <w:r>
        <w:rPr>
          <w:rStyle w:val="FootnoteReference"/>
        </w:rPr>
        <w:footnoteRef/>
      </w:r>
      <w:r>
        <w:t xml:space="preserve"> See Figures 1 and 2 in previous pages.</w:t>
      </w:r>
    </w:p>
  </w:footnote>
  <w:footnote w:id="19">
    <w:p w14:paraId="6AA002C3" w14:textId="77777777" w:rsidR="00525FB4" w:rsidRDefault="00525FB4">
      <w:pPr>
        <w:pStyle w:val="FootnoteText"/>
      </w:pPr>
      <w:r>
        <w:rPr>
          <w:rStyle w:val="FootnoteReference"/>
        </w:rPr>
        <w:footnoteRef/>
      </w:r>
      <w:r>
        <w:t xml:space="preserve"> -----. 2010. “Analysis: Thinking the unthinkable – a euro zone breakup.” </w:t>
      </w:r>
      <w:hyperlink r:id="rId4" w:history="1">
        <w:r w:rsidRPr="005C53A1">
          <w:rPr>
            <w:rStyle w:val="Hyperlink"/>
          </w:rPr>
          <w:t>http://www.cnbc.com/id/40371286/Analysis_Thinking_the_unthinkable_a_euro_zone_breakup. November 26</w:t>
        </w:r>
      </w:hyperlink>
      <w:r>
        <w:t>, 2010.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50DE"/>
    <w:rsid w:val="00007C23"/>
    <w:rsid w:val="00021E8D"/>
    <w:rsid w:val="000307E9"/>
    <w:rsid w:val="00047C60"/>
    <w:rsid w:val="000704C6"/>
    <w:rsid w:val="00093561"/>
    <w:rsid w:val="000C5615"/>
    <w:rsid w:val="00127E36"/>
    <w:rsid w:val="00150957"/>
    <w:rsid w:val="001A4358"/>
    <w:rsid w:val="001F20EE"/>
    <w:rsid w:val="00242ACE"/>
    <w:rsid w:val="002A077C"/>
    <w:rsid w:val="002A542D"/>
    <w:rsid w:val="002D46CF"/>
    <w:rsid w:val="0033758A"/>
    <w:rsid w:val="00342340"/>
    <w:rsid w:val="003451FA"/>
    <w:rsid w:val="0038765C"/>
    <w:rsid w:val="003951D1"/>
    <w:rsid w:val="003B589E"/>
    <w:rsid w:val="003D11D8"/>
    <w:rsid w:val="003E1570"/>
    <w:rsid w:val="004D659E"/>
    <w:rsid w:val="004E3922"/>
    <w:rsid w:val="00500E29"/>
    <w:rsid w:val="00510350"/>
    <w:rsid w:val="00516793"/>
    <w:rsid w:val="00521D9E"/>
    <w:rsid w:val="00525FB4"/>
    <w:rsid w:val="0056704C"/>
    <w:rsid w:val="00591C89"/>
    <w:rsid w:val="005C223C"/>
    <w:rsid w:val="00606234"/>
    <w:rsid w:val="00641248"/>
    <w:rsid w:val="00652E27"/>
    <w:rsid w:val="006709AD"/>
    <w:rsid w:val="00675655"/>
    <w:rsid w:val="00686D94"/>
    <w:rsid w:val="006B073B"/>
    <w:rsid w:val="00707841"/>
    <w:rsid w:val="00760278"/>
    <w:rsid w:val="007732DE"/>
    <w:rsid w:val="007D7245"/>
    <w:rsid w:val="007E2F46"/>
    <w:rsid w:val="00816AC2"/>
    <w:rsid w:val="00830420"/>
    <w:rsid w:val="0086607D"/>
    <w:rsid w:val="00883429"/>
    <w:rsid w:val="008C43A5"/>
    <w:rsid w:val="009531BA"/>
    <w:rsid w:val="009653A0"/>
    <w:rsid w:val="009750DE"/>
    <w:rsid w:val="009A35EF"/>
    <w:rsid w:val="009E146D"/>
    <w:rsid w:val="009F0993"/>
    <w:rsid w:val="00A01B02"/>
    <w:rsid w:val="00A13717"/>
    <w:rsid w:val="00A164F0"/>
    <w:rsid w:val="00A37E44"/>
    <w:rsid w:val="00A46D76"/>
    <w:rsid w:val="00A72CBA"/>
    <w:rsid w:val="00AB037F"/>
    <w:rsid w:val="00AC3FFB"/>
    <w:rsid w:val="00AE624A"/>
    <w:rsid w:val="00B03EE9"/>
    <w:rsid w:val="00B04474"/>
    <w:rsid w:val="00B25C8E"/>
    <w:rsid w:val="00BE33AA"/>
    <w:rsid w:val="00BF52A0"/>
    <w:rsid w:val="00C115BB"/>
    <w:rsid w:val="00C4254E"/>
    <w:rsid w:val="00C5051E"/>
    <w:rsid w:val="00C57C85"/>
    <w:rsid w:val="00C9359D"/>
    <w:rsid w:val="00CF59DF"/>
    <w:rsid w:val="00D44BEF"/>
    <w:rsid w:val="00D5278A"/>
    <w:rsid w:val="00D76DB9"/>
    <w:rsid w:val="00DF669C"/>
    <w:rsid w:val="00E45D5C"/>
    <w:rsid w:val="00E7485B"/>
    <w:rsid w:val="00E90305"/>
    <w:rsid w:val="00EB35B7"/>
    <w:rsid w:val="00ED7BE6"/>
    <w:rsid w:val="00EE2955"/>
    <w:rsid w:val="00EF171B"/>
    <w:rsid w:val="00F75471"/>
    <w:rsid w:val="00F91737"/>
    <w:rsid w:val="00F93C6F"/>
    <w:rsid w:val="00FB6B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EAAE"/>
  <w15:docId w15:val="{F100499D-021A-4DF5-A514-1F2F24C5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876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65C"/>
    <w:rPr>
      <w:sz w:val="20"/>
      <w:szCs w:val="20"/>
    </w:rPr>
  </w:style>
  <w:style w:type="character" w:styleId="FootnoteReference">
    <w:name w:val="footnote reference"/>
    <w:basedOn w:val="DefaultParagraphFont"/>
    <w:uiPriority w:val="99"/>
    <w:semiHidden/>
    <w:unhideWhenUsed/>
    <w:rsid w:val="0038765C"/>
    <w:rPr>
      <w:vertAlign w:val="superscript"/>
    </w:rPr>
  </w:style>
  <w:style w:type="paragraph" w:styleId="BalloonText">
    <w:name w:val="Balloon Text"/>
    <w:basedOn w:val="Normal"/>
    <w:link w:val="BalloonTextChar"/>
    <w:uiPriority w:val="99"/>
    <w:semiHidden/>
    <w:unhideWhenUsed/>
    <w:rsid w:val="00242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ACE"/>
    <w:rPr>
      <w:rFonts w:ascii="Tahoma" w:hAnsi="Tahoma" w:cs="Tahoma"/>
      <w:sz w:val="16"/>
      <w:szCs w:val="16"/>
    </w:rPr>
  </w:style>
  <w:style w:type="character" w:styleId="Hyperlink">
    <w:name w:val="Hyperlink"/>
    <w:basedOn w:val="DefaultParagraphFont"/>
    <w:uiPriority w:val="99"/>
    <w:unhideWhenUsed/>
    <w:rsid w:val="00B04474"/>
    <w:rPr>
      <w:color w:val="0000FF" w:themeColor="hyperlink"/>
      <w:u w:val="single"/>
    </w:rPr>
  </w:style>
  <w:style w:type="character" w:styleId="FollowedHyperlink">
    <w:name w:val="FollowedHyperlink"/>
    <w:basedOn w:val="DefaultParagraphFont"/>
    <w:uiPriority w:val="99"/>
    <w:semiHidden/>
    <w:unhideWhenUsed/>
    <w:rsid w:val="00F93C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098793">
      <w:bodyDiv w:val="1"/>
      <w:marLeft w:val="0"/>
      <w:marRight w:val="0"/>
      <w:marTop w:val="0"/>
      <w:marBottom w:val="0"/>
      <w:divBdr>
        <w:top w:val="none" w:sz="0" w:space="0" w:color="auto"/>
        <w:left w:val="none" w:sz="0" w:space="0" w:color="auto"/>
        <w:bottom w:val="none" w:sz="0" w:space="0" w:color="auto"/>
        <w:right w:val="none" w:sz="0" w:space="0" w:color="auto"/>
      </w:divBdr>
      <w:divsChild>
        <w:div w:id="626742414">
          <w:marLeft w:val="0"/>
          <w:marRight w:val="0"/>
          <w:marTop w:val="0"/>
          <w:marBottom w:val="0"/>
          <w:divBdr>
            <w:top w:val="single" w:sz="2" w:space="0" w:color="FF0000"/>
            <w:left w:val="single" w:sz="2" w:space="0" w:color="FF0000"/>
            <w:bottom w:val="single" w:sz="2" w:space="0" w:color="FF0000"/>
            <w:right w:val="single" w:sz="2" w:space="0" w:color="FF0000"/>
          </w:divBdr>
          <w:divsChild>
            <w:div w:id="1933082027">
              <w:marLeft w:val="0"/>
              <w:marRight w:val="0"/>
              <w:marTop w:val="0"/>
              <w:marBottom w:val="0"/>
              <w:divBdr>
                <w:top w:val="single" w:sz="2" w:space="0" w:color="FF0000"/>
                <w:left w:val="single" w:sz="2" w:space="0" w:color="FF0000"/>
                <w:bottom w:val="single" w:sz="2" w:space="0" w:color="FF0000"/>
                <w:right w:val="single" w:sz="2" w:space="0" w:color="FF0000"/>
              </w:divBdr>
              <w:divsChild>
                <w:div w:id="1315527656">
                  <w:marLeft w:val="0"/>
                  <w:marRight w:val="0"/>
                  <w:marTop w:val="0"/>
                  <w:marBottom w:val="225"/>
                  <w:divBdr>
                    <w:top w:val="single" w:sz="2" w:space="0" w:color="FF0000"/>
                    <w:left w:val="single" w:sz="2" w:space="0" w:color="FF0000"/>
                    <w:bottom w:val="dashed" w:sz="6" w:space="8" w:color="999999"/>
                    <w:right w:val="single" w:sz="2" w:space="0" w:color="FF0000"/>
                  </w:divBdr>
                  <w:divsChild>
                    <w:div w:id="768309682">
                      <w:marLeft w:val="0"/>
                      <w:marRight w:val="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conomist.com/node/15498265?story_id=1549826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paddypowertrader.com/blog/index.php/views-opinions/eurozone-long-term-sovereign-debt-rating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piegel.de/international/europe/0,1518,677214,00.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nbc.com/id/40371286/Analysis_Thinking_the_unthinkable_a_euro_zone_breakup.%20November%2026" TargetMode="External"/><Relationship Id="rId5" Type="http://schemas.openxmlformats.org/officeDocument/2006/relationships/footnotes" Target="footnotes.xml"/><Relationship Id="rId15" Type="http://schemas.openxmlformats.org/officeDocument/2006/relationships/hyperlink" Target="http://www.nber.org/~wbuiter/angelov.pdf" TargetMode="Externa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nbc.com/id/40367959/Zero_Chance_of_Euro_Zone_Break_Up_EU_Official.%20November%202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nbc.com/id/40367959/Zero_Chance_of_Euro_Zone_Break_Up_EU_Official.%20November%2025" TargetMode="External"/><Relationship Id="rId2" Type="http://schemas.openxmlformats.org/officeDocument/2006/relationships/hyperlink" Target="http://www.paddypowertrader.com/blog/index.php/views-opinions/eurozone-long-term-sovereign-debt-ratings" TargetMode="External"/><Relationship Id="rId1" Type="http://schemas.openxmlformats.org/officeDocument/2006/relationships/hyperlink" Target="http://www.spiegel.de/international/europe/0,1518,677214,00.html" TargetMode="External"/><Relationship Id="rId4" Type="http://schemas.openxmlformats.org/officeDocument/2006/relationships/hyperlink" Target="http://www.cnbc.com/id/40371286/Analysis_Thinking_the_unthinkable_a_euro_zone_breakup.%20November%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0348612-FDC9-4EEA-9F02-BEB131C9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12</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Garni</dc:creator>
  <cp:lastModifiedBy>Garni Gharekhanian</cp:lastModifiedBy>
  <cp:revision>23</cp:revision>
  <dcterms:created xsi:type="dcterms:W3CDTF">2011-05-06T00:11:00Z</dcterms:created>
  <dcterms:modified xsi:type="dcterms:W3CDTF">2019-07-05T16:00:00Z</dcterms:modified>
</cp:coreProperties>
</file>